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0C99D" w14:textId="77777777" w:rsidR="00904ABF" w:rsidRPr="00E7302F" w:rsidRDefault="00904ABF" w:rsidP="00904ABF">
      <w:pPr>
        <w:rPr>
          <w:b/>
          <w:lang w:val="sr-Cyrl-RS"/>
        </w:rPr>
      </w:pPr>
    </w:p>
    <w:p w14:paraId="480381AC" w14:textId="77777777" w:rsidR="00904ABF" w:rsidRPr="006E4BB9" w:rsidRDefault="00904ABF" w:rsidP="00904ABF">
      <w:pPr>
        <w:rPr>
          <w:b/>
        </w:rPr>
      </w:pPr>
    </w:p>
    <w:p w14:paraId="49928411" w14:textId="77777777" w:rsidR="00904ABF" w:rsidRPr="006E4BB9" w:rsidRDefault="00904ABF" w:rsidP="00904ABF">
      <w:pPr>
        <w:rPr>
          <w:b/>
        </w:rPr>
      </w:pPr>
    </w:p>
    <w:p w14:paraId="14E15F30" w14:textId="77777777" w:rsidR="00904ABF" w:rsidRPr="006E4BB9" w:rsidRDefault="00904ABF" w:rsidP="00904ABF">
      <w:pPr>
        <w:rPr>
          <w:b/>
        </w:rPr>
      </w:pPr>
    </w:p>
    <w:p w14:paraId="250D7434" w14:textId="77777777" w:rsidR="00904ABF" w:rsidRPr="006E4BB9" w:rsidRDefault="00904ABF" w:rsidP="00904ABF">
      <w:pPr>
        <w:rPr>
          <w:b/>
        </w:rPr>
      </w:pPr>
    </w:p>
    <w:p w14:paraId="102FB879" w14:textId="77777777" w:rsidR="00904ABF" w:rsidRPr="006E4BB9" w:rsidRDefault="00904ABF" w:rsidP="00904ABF">
      <w:pPr>
        <w:rPr>
          <w:b/>
        </w:rPr>
      </w:pPr>
    </w:p>
    <w:p w14:paraId="11C4BBAC" w14:textId="77777777" w:rsidR="00904ABF" w:rsidRPr="006E4BB9" w:rsidRDefault="00904ABF" w:rsidP="00904ABF">
      <w:pPr>
        <w:rPr>
          <w:b/>
        </w:rPr>
      </w:pPr>
    </w:p>
    <w:p w14:paraId="4360746D" w14:textId="77777777" w:rsidR="00904ABF" w:rsidRPr="006E4BB9" w:rsidRDefault="00904ABF" w:rsidP="00904ABF">
      <w:pPr>
        <w:rPr>
          <w:b/>
        </w:rPr>
      </w:pPr>
    </w:p>
    <w:p w14:paraId="665F4340" w14:textId="77777777" w:rsidR="00904ABF" w:rsidRPr="006E4BB9" w:rsidRDefault="00904ABF" w:rsidP="00904ABF">
      <w:pPr>
        <w:rPr>
          <w:b/>
          <w:sz w:val="24"/>
        </w:rPr>
      </w:pPr>
      <w:r w:rsidRPr="006E4BB9">
        <w:rPr>
          <w:b/>
          <w:sz w:val="24"/>
        </w:rPr>
        <w:t>TAIEX</w:t>
      </w:r>
      <w:r w:rsidR="00F379F2" w:rsidRPr="006E4BB9">
        <w:rPr>
          <w:b/>
          <w:sz w:val="24"/>
        </w:rPr>
        <w:t xml:space="preserve"> задатак</w:t>
      </w:r>
      <w:r w:rsidRPr="006E4BB9">
        <w:rPr>
          <w:b/>
          <w:sz w:val="24"/>
        </w:rPr>
        <w:t xml:space="preserve"> 30066</w:t>
      </w:r>
    </w:p>
    <w:p w14:paraId="6FA3DD4B" w14:textId="77777777" w:rsidR="00904ABF" w:rsidRPr="006E4BB9" w:rsidRDefault="00F379F2" w:rsidP="00904ABF">
      <w:pPr>
        <w:rPr>
          <w:rFonts w:ascii="Calibri Light" w:hAnsi="Calibri Light" w:cs="Calibri Light"/>
          <w:sz w:val="44"/>
        </w:rPr>
      </w:pPr>
      <w:r w:rsidRPr="006E4BB9">
        <w:rPr>
          <w:rFonts w:ascii="Calibri Light" w:hAnsi="Calibri Light" w:cs="Calibri Light"/>
          <w:sz w:val="44"/>
        </w:rPr>
        <w:t>Оцена Нацрта Закона о заштити података о личности Републике Србије</w:t>
      </w:r>
      <w:r w:rsidR="00904ABF" w:rsidRPr="006E4BB9">
        <w:rPr>
          <w:rFonts w:ascii="Calibri Light" w:hAnsi="Calibri Light" w:cs="Calibri Light"/>
          <w:sz w:val="44"/>
        </w:rPr>
        <w:t xml:space="preserve"> </w:t>
      </w:r>
    </w:p>
    <w:p w14:paraId="7C6D676D" w14:textId="77777777" w:rsidR="00904ABF" w:rsidRPr="006E4BB9" w:rsidRDefault="00F379F2" w:rsidP="00904ABF">
      <w:r w:rsidRPr="006E4BB9">
        <w:t>Студија израђена на основу документације</w:t>
      </w:r>
    </w:p>
    <w:p w14:paraId="0C25B112" w14:textId="77777777" w:rsidR="00904ABF" w:rsidRPr="006E4BB9" w:rsidRDefault="00904ABF" w:rsidP="00904ABF">
      <w:pPr>
        <w:rPr>
          <w:b/>
        </w:rPr>
      </w:pPr>
    </w:p>
    <w:p w14:paraId="1D06A561" w14:textId="77777777" w:rsidR="00904ABF" w:rsidRPr="006E4BB9" w:rsidRDefault="00904ABF" w:rsidP="00904ABF">
      <w:pPr>
        <w:rPr>
          <w:b/>
        </w:rPr>
      </w:pPr>
    </w:p>
    <w:p w14:paraId="230349AA" w14:textId="77777777" w:rsidR="00904ABF" w:rsidRPr="006E4BB9" w:rsidRDefault="00904ABF" w:rsidP="00904ABF">
      <w:pPr>
        <w:rPr>
          <w:b/>
        </w:rPr>
      </w:pPr>
    </w:p>
    <w:p w14:paraId="502DC6EA" w14:textId="77777777" w:rsidR="00904ABF" w:rsidRPr="006E4BB9" w:rsidRDefault="00904ABF" w:rsidP="00904ABF">
      <w:pPr>
        <w:rPr>
          <w:b/>
        </w:rPr>
      </w:pPr>
    </w:p>
    <w:p w14:paraId="0734D5C7" w14:textId="77777777" w:rsidR="00904ABF" w:rsidRPr="006E4BB9" w:rsidRDefault="00904ABF" w:rsidP="00904ABF">
      <w:pPr>
        <w:rPr>
          <w:b/>
        </w:rPr>
      </w:pPr>
    </w:p>
    <w:p w14:paraId="10F9F3CF" w14:textId="77777777" w:rsidR="00904ABF" w:rsidRPr="006E4BB9" w:rsidRDefault="00904ABF" w:rsidP="00904ABF">
      <w:pPr>
        <w:rPr>
          <w:b/>
        </w:rPr>
      </w:pPr>
    </w:p>
    <w:p w14:paraId="600B0EBC" w14:textId="77777777" w:rsidR="00904ABF" w:rsidRPr="006E4BB9" w:rsidRDefault="00904ABF" w:rsidP="00904ABF">
      <w:pPr>
        <w:rPr>
          <w:b/>
        </w:rPr>
      </w:pPr>
    </w:p>
    <w:p w14:paraId="23412787" w14:textId="77777777" w:rsidR="00904ABF" w:rsidRPr="006E4BB9" w:rsidRDefault="00904ABF" w:rsidP="00904ABF">
      <w:pPr>
        <w:rPr>
          <w:b/>
        </w:rPr>
      </w:pPr>
    </w:p>
    <w:p w14:paraId="159628BB" w14:textId="77777777" w:rsidR="00904ABF" w:rsidRPr="006E4BB9" w:rsidRDefault="00904ABF" w:rsidP="00904ABF">
      <w:pPr>
        <w:rPr>
          <w:b/>
        </w:rPr>
      </w:pPr>
    </w:p>
    <w:p w14:paraId="3CA55ABC" w14:textId="77777777" w:rsidR="00904ABF" w:rsidRPr="006E4BB9" w:rsidRDefault="00904ABF" w:rsidP="00904ABF">
      <w:pPr>
        <w:rPr>
          <w:b/>
        </w:rPr>
      </w:pPr>
    </w:p>
    <w:p w14:paraId="2E96BF1B" w14:textId="77777777" w:rsidR="00904ABF" w:rsidRPr="006E4BB9" w:rsidRDefault="00904ABF" w:rsidP="00904ABF">
      <w:pPr>
        <w:rPr>
          <w:b/>
        </w:rPr>
      </w:pPr>
    </w:p>
    <w:p w14:paraId="682E3C5B" w14:textId="77777777" w:rsidR="00904ABF" w:rsidRPr="006E4BB9" w:rsidRDefault="00904ABF" w:rsidP="00904ABF">
      <w:pPr>
        <w:rPr>
          <w:b/>
        </w:rPr>
      </w:pPr>
    </w:p>
    <w:p w14:paraId="50CE6F2F" w14:textId="77777777" w:rsidR="00904ABF" w:rsidRPr="006E4BB9" w:rsidRDefault="00F379F2" w:rsidP="00904ABF">
      <w:pPr>
        <w:rPr>
          <w:b/>
        </w:rPr>
      </w:pPr>
      <w:r w:rsidRPr="006E4BB9">
        <w:rPr>
          <w:b/>
        </w:rPr>
        <w:t>Љубљана</w:t>
      </w:r>
      <w:r w:rsidR="00904ABF" w:rsidRPr="006E4BB9">
        <w:rPr>
          <w:b/>
        </w:rPr>
        <w:t xml:space="preserve">, </w:t>
      </w:r>
      <w:r w:rsidR="00DB1025" w:rsidRPr="006E4BB9">
        <w:rPr>
          <w:b/>
        </w:rPr>
        <w:t>2</w:t>
      </w:r>
      <w:r w:rsidR="00E6695A" w:rsidRPr="006E4BB9">
        <w:rPr>
          <w:b/>
        </w:rPr>
        <w:t>8</w:t>
      </w:r>
      <w:r w:rsidRPr="006E4BB9">
        <w:rPr>
          <w:b/>
        </w:rPr>
        <w:t>. мај</w:t>
      </w:r>
      <w:r w:rsidR="00DB1025" w:rsidRPr="006E4BB9">
        <w:rPr>
          <w:b/>
        </w:rPr>
        <w:t xml:space="preserve"> </w:t>
      </w:r>
      <w:r w:rsidR="00904ABF" w:rsidRPr="006E4BB9">
        <w:rPr>
          <w:b/>
        </w:rPr>
        <w:t>2019</w:t>
      </w:r>
      <w:r w:rsidRPr="006E4BB9">
        <w:rPr>
          <w:b/>
        </w:rPr>
        <w:t>. године</w:t>
      </w:r>
    </w:p>
    <w:p w14:paraId="1A8C4F25" w14:textId="77777777" w:rsidR="00904ABF" w:rsidRPr="006E4BB9" w:rsidRDefault="00904ABF" w:rsidP="00904ABF"/>
    <w:p w14:paraId="13C4F597" w14:textId="77777777" w:rsidR="00DB1025" w:rsidRPr="006E4BB9" w:rsidRDefault="00DB1025" w:rsidP="00904ABF"/>
    <w:p w14:paraId="060E6FB6" w14:textId="77777777" w:rsidR="00904ABF" w:rsidRPr="006E4BB9" w:rsidRDefault="00904ABF" w:rsidP="00904ABF"/>
    <w:p w14:paraId="72E04206" w14:textId="77777777" w:rsidR="00904ABF" w:rsidRPr="006E4BB9" w:rsidRDefault="00841515" w:rsidP="00904ABF">
      <w:r>
        <w:t>Матеј Сиронич</w:t>
      </w:r>
      <w:r w:rsidR="00904ABF" w:rsidRPr="006E4BB9">
        <w:tab/>
      </w:r>
      <w:r w:rsidR="00904ABF" w:rsidRPr="006E4BB9">
        <w:tab/>
      </w:r>
      <w:r w:rsidR="00904ABF" w:rsidRPr="006E4BB9">
        <w:tab/>
      </w:r>
      <w:r w:rsidR="00904ABF" w:rsidRPr="006E4BB9">
        <w:tab/>
      </w:r>
      <w:r w:rsidR="00904ABF" w:rsidRPr="006E4BB9">
        <w:tab/>
      </w:r>
      <w:r w:rsidR="00904ABF" w:rsidRPr="006E4BB9">
        <w:tab/>
      </w:r>
      <w:r w:rsidR="00904ABF" w:rsidRPr="006E4BB9">
        <w:tab/>
      </w:r>
      <w:r w:rsidR="00904ABF" w:rsidRPr="006E4BB9">
        <w:tab/>
      </w:r>
      <w:r w:rsidR="00904ABF" w:rsidRPr="006E4BB9">
        <w:tab/>
      </w:r>
      <w:r w:rsidR="00904ABF" w:rsidRPr="006E4BB9">
        <w:tab/>
      </w:r>
      <w:r>
        <w:t>Анже Новак</w:t>
      </w:r>
    </w:p>
    <w:p w14:paraId="2051E721" w14:textId="77777777" w:rsidR="00904ABF" w:rsidRPr="006E4BB9" w:rsidRDefault="00904ABF" w:rsidP="00904ABF">
      <w:pPr>
        <w:rPr>
          <w:rFonts w:ascii="Arial" w:hAnsi="Arial"/>
          <w:b/>
          <w:bCs/>
          <w:sz w:val="24"/>
          <w:szCs w:val="20"/>
        </w:rPr>
      </w:pPr>
      <w:r w:rsidRPr="006E4BB9">
        <w:br w:type="page"/>
      </w:r>
    </w:p>
    <w:p w14:paraId="011C95B7" w14:textId="66CB827E" w:rsidR="00904ABF" w:rsidRPr="006E4BB9" w:rsidRDefault="00F379F2" w:rsidP="00904ABF">
      <w:pPr>
        <w:jc w:val="both"/>
      </w:pPr>
      <w:r w:rsidRPr="006E4BB9">
        <w:lastRenderedPageBreak/>
        <w:t xml:space="preserve">Циљ ове студије је оцена усаглашености новог </w:t>
      </w:r>
      <w:hyperlink r:id="rId9" w:history="1">
        <w:r w:rsidRPr="006E4BB9">
          <w:rPr>
            <w:color w:val="0563C1"/>
            <w:u w:val="single"/>
          </w:rPr>
          <w:t>Закона о заштити података о личности Републике Србије</w:t>
        </w:r>
      </w:hyperlink>
      <w:r w:rsidRPr="006E4BB9">
        <w:t xml:space="preserve"> (у даљем тексту</w:t>
      </w:r>
      <w:r w:rsidR="00904ABF" w:rsidRPr="006E4BB9">
        <w:t xml:space="preserve">: </w:t>
      </w:r>
      <w:r w:rsidRPr="006E4BB9">
        <w:t>„Закон“</w:t>
      </w:r>
      <w:r w:rsidR="00904ABF" w:rsidRPr="006E4BB9">
        <w:t xml:space="preserve">) </w:t>
      </w:r>
      <w:r w:rsidRPr="006E4BB9">
        <w:t>са правним тековинама ЕУ</w:t>
      </w:r>
      <w:r w:rsidR="00904ABF" w:rsidRPr="006E4BB9">
        <w:t xml:space="preserve">. </w:t>
      </w:r>
      <w:r w:rsidRPr="006E4BB9">
        <w:t xml:space="preserve">Закон је усвојен 9. </w:t>
      </w:r>
      <w:r w:rsidR="0003307D">
        <w:t>новембра</w:t>
      </w:r>
      <w:r w:rsidR="0003307D" w:rsidRPr="006E4BB9">
        <w:t xml:space="preserve"> </w:t>
      </w:r>
      <w:r w:rsidR="00904ABF" w:rsidRPr="006E4BB9">
        <w:t>2018</w:t>
      </w:r>
      <w:r w:rsidRPr="006E4BB9">
        <w:t>. године</w:t>
      </w:r>
      <w:r w:rsidR="00904ABF" w:rsidRPr="006E4BB9">
        <w:t xml:space="preserve">, </w:t>
      </w:r>
      <w:r w:rsidRPr="006E4BB9">
        <w:t xml:space="preserve">а ступио је на снагу </w:t>
      </w:r>
      <w:r w:rsidR="00904ABF" w:rsidRPr="006E4BB9">
        <w:t>21</w:t>
      </w:r>
      <w:r w:rsidRPr="006E4BB9">
        <w:t xml:space="preserve">. </w:t>
      </w:r>
      <w:r w:rsidR="0003307D">
        <w:t>новембра</w:t>
      </w:r>
      <w:r w:rsidR="0003307D" w:rsidRPr="006E4BB9">
        <w:t xml:space="preserve"> </w:t>
      </w:r>
      <w:r w:rsidR="00904ABF" w:rsidRPr="006E4BB9">
        <w:t>2018</w:t>
      </w:r>
      <w:r w:rsidRPr="006E4BB9">
        <w:t>. године</w:t>
      </w:r>
      <w:r w:rsidR="00904ABF" w:rsidRPr="006E4BB9">
        <w:t xml:space="preserve"> </w:t>
      </w:r>
      <w:r w:rsidRPr="006E4BB9">
        <w:t>и</w:t>
      </w:r>
      <w:r w:rsidR="00904ABF" w:rsidRPr="006E4BB9">
        <w:t xml:space="preserve"> </w:t>
      </w:r>
      <w:r w:rsidRPr="006E4BB9">
        <w:t xml:space="preserve">примењиваће се од </w:t>
      </w:r>
      <w:r w:rsidR="00904ABF" w:rsidRPr="006E4BB9">
        <w:t>21</w:t>
      </w:r>
      <w:r w:rsidRPr="006E4BB9">
        <w:t xml:space="preserve">. августа </w:t>
      </w:r>
      <w:r w:rsidR="00904ABF" w:rsidRPr="006E4BB9">
        <w:t>2019</w:t>
      </w:r>
      <w:r w:rsidRPr="006E4BB9">
        <w:t>. године</w:t>
      </w:r>
      <w:r w:rsidR="00904ABF" w:rsidRPr="006E4BB9">
        <w:t xml:space="preserve">. </w:t>
      </w:r>
      <w:r w:rsidRPr="006E4BB9">
        <w:t xml:space="preserve">Закон је објављен у Службеном гласнику Републике Србије бр. </w:t>
      </w:r>
      <w:r w:rsidR="00904ABF" w:rsidRPr="006E4BB9">
        <w:t xml:space="preserve">87/18 </w:t>
      </w:r>
      <w:r w:rsidRPr="006E4BB9">
        <w:t xml:space="preserve">од </w:t>
      </w:r>
      <w:r w:rsidR="00904ABF" w:rsidRPr="006E4BB9">
        <w:t xml:space="preserve"> 13</w:t>
      </w:r>
      <w:r w:rsidRPr="006E4BB9">
        <w:t xml:space="preserve">. </w:t>
      </w:r>
      <w:r w:rsidR="0003307D">
        <w:t>новембра</w:t>
      </w:r>
      <w:r w:rsidR="0003307D" w:rsidRPr="006E4BB9">
        <w:t xml:space="preserve"> </w:t>
      </w:r>
      <w:r w:rsidR="00904ABF" w:rsidRPr="006E4BB9">
        <w:t>2018</w:t>
      </w:r>
      <w:r w:rsidRPr="006E4BB9">
        <w:t>. године</w:t>
      </w:r>
      <w:r w:rsidR="00904ABF" w:rsidRPr="006E4BB9">
        <w:t>.</w:t>
      </w:r>
    </w:p>
    <w:p w14:paraId="40A82DDA" w14:textId="285A050D" w:rsidR="00904ABF" w:rsidRPr="006E4BB9" w:rsidRDefault="00F379F2" w:rsidP="00904ABF">
      <w:pPr>
        <w:jc w:val="both"/>
        <w:rPr>
          <w:b/>
        </w:rPr>
      </w:pPr>
      <w:r w:rsidRPr="006E4BB9">
        <w:t xml:space="preserve">Оцена је извршена на основу превода Закона на енглески језик </w:t>
      </w:r>
      <w:r w:rsidR="00904ABF" w:rsidRPr="006E4BB9">
        <w:t>(</w:t>
      </w:r>
      <w:r w:rsidRPr="006E4BB9">
        <w:t>који укључује упоредне табеле</w:t>
      </w:r>
      <w:r w:rsidR="00904ABF" w:rsidRPr="006E4BB9">
        <w:t>)</w:t>
      </w:r>
      <w:r w:rsidR="005E3498" w:rsidRPr="006E4BB9">
        <w:t xml:space="preserve">, </w:t>
      </w:r>
      <w:r w:rsidRPr="006E4BB9">
        <w:t xml:space="preserve">који је </w:t>
      </w:r>
      <w:r w:rsidR="00904ABF" w:rsidRPr="006E4BB9">
        <w:t xml:space="preserve">TAIEX </w:t>
      </w:r>
      <w:r w:rsidRPr="006E4BB9">
        <w:t>доставила електронском поштом</w:t>
      </w:r>
      <w:r w:rsidR="00904ABF" w:rsidRPr="006E4BB9">
        <w:t xml:space="preserve">, </w:t>
      </w:r>
      <w:r w:rsidRPr="006E4BB9">
        <w:t xml:space="preserve">од </w:t>
      </w:r>
      <w:r w:rsidR="00904ABF" w:rsidRPr="006E4BB9">
        <w:t>24</w:t>
      </w:r>
      <w:r w:rsidRPr="006E4BB9">
        <w:t xml:space="preserve">. јануара </w:t>
      </w:r>
      <w:r w:rsidR="00904ABF" w:rsidRPr="006E4BB9">
        <w:t>2019</w:t>
      </w:r>
      <w:r w:rsidRPr="006E4BB9">
        <w:t>. године</w:t>
      </w:r>
      <w:r w:rsidR="00904ABF" w:rsidRPr="006E4BB9">
        <w:t xml:space="preserve">, </w:t>
      </w:r>
      <w:r w:rsidRPr="006E4BB9">
        <w:t xml:space="preserve">у коме се наводи да је достављени превод урађен на основу текста Закона усвојеног </w:t>
      </w:r>
      <w:r w:rsidR="00904ABF" w:rsidRPr="006E4BB9">
        <w:t>9</w:t>
      </w:r>
      <w:r w:rsidRPr="006E4BB9">
        <w:t xml:space="preserve">. </w:t>
      </w:r>
      <w:r w:rsidR="0003307D">
        <w:t>новембра</w:t>
      </w:r>
      <w:r w:rsidR="0003307D" w:rsidRPr="006E4BB9">
        <w:t xml:space="preserve"> </w:t>
      </w:r>
      <w:r w:rsidR="00904ABF" w:rsidRPr="006E4BB9">
        <w:t>2018</w:t>
      </w:r>
      <w:r w:rsidRPr="006E4BB9">
        <w:t>. године</w:t>
      </w:r>
      <w:r w:rsidR="00904ABF" w:rsidRPr="006E4BB9">
        <w:t>.</w:t>
      </w:r>
      <w:r w:rsidR="005E3498" w:rsidRPr="006E4BB9">
        <w:rPr>
          <w:b/>
        </w:rPr>
        <w:t xml:space="preserve"> </w:t>
      </w:r>
      <w:r w:rsidR="006E767C" w:rsidRPr="006E4BB9">
        <w:rPr>
          <w:b/>
        </w:rPr>
        <w:t>Пошто је ова Оцена израђена на основу енглеског превода изворног документа, могуће је да је дошло до одређених погрешних тумачења због евентуалних недоследности превода са изворним текстом Закона.</w:t>
      </w:r>
      <w:r w:rsidR="0077196F" w:rsidRPr="006E4BB9">
        <w:rPr>
          <w:b/>
        </w:rPr>
        <w:t xml:space="preserve"> </w:t>
      </w:r>
    </w:p>
    <w:p w14:paraId="0EF3C9A9" w14:textId="77777777" w:rsidR="00904ABF" w:rsidRPr="006E4BB9" w:rsidRDefault="00904ABF" w:rsidP="00904ABF">
      <w:pPr>
        <w:jc w:val="both"/>
      </w:pPr>
    </w:p>
    <w:p w14:paraId="398BFF95" w14:textId="20807F11" w:rsidR="00904ABF" w:rsidRPr="006E4BB9" w:rsidRDefault="006E767C" w:rsidP="00904ABF">
      <w:pPr>
        <w:jc w:val="both"/>
        <w:rPr>
          <w:rFonts w:ascii="Arial" w:hAnsi="Arial"/>
          <w:b/>
          <w:bCs/>
          <w:sz w:val="24"/>
          <w:szCs w:val="20"/>
        </w:rPr>
      </w:pPr>
      <w:r w:rsidRPr="006E4BB9">
        <w:rPr>
          <w:rFonts w:ascii="Arial" w:hAnsi="Arial"/>
          <w:b/>
          <w:bCs/>
          <w:sz w:val="24"/>
          <w:szCs w:val="20"/>
        </w:rPr>
        <w:t xml:space="preserve">ОПШТЕ </w:t>
      </w:r>
      <w:r w:rsidR="0003307D">
        <w:rPr>
          <w:rFonts w:ascii="Arial" w:hAnsi="Arial"/>
          <w:b/>
          <w:bCs/>
          <w:sz w:val="24"/>
          <w:szCs w:val="20"/>
        </w:rPr>
        <w:t>НАПОМЕНЕ</w:t>
      </w:r>
      <w:r w:rsidR="00904ABF" w:rsidRPr="006E4BB9">
        <w:rPr>
          <w:rFonts w:ascii="Arial" w:hAnsi="Arial"/>
          <w:b/>
          <w:bCs/>
          <w:sz w:val="24"/>
          <w:szCs w:val="20"/>
        </w:rPr>
        <w:t>:</w:t>
      </w:r>
    </w:p>
    <w:p w14:paraId="4AD8D0E5" w14:textId="7C97839E" w:rsidR="00904ABF" w:rsidRPr="006E4BB9" w:rsidRDefault="0003307D" w:rsidP="00904ABF">
      <w:pPr>
        <w:jc w:val="both"/>
      </w:pPr>
      <w:r>
        <w:t>Сврха</w:t>
      </w:r>
      <w:r w:rsidRPr="006E4BB9">
        <w:t xml:space="preserve"> </w:t>
      </w:r>
      <w:r>
        <w:t xml:space="preserve">овог </w:t>
      </w:r>
      <w:r w:rsidR="006E767C" w:rsidRPr="006E4BB9">
        <w:t xml:space="preserve">Закона је да се правни прописи ускладе са Уредбом </w:t>
      </w:r>
      <w:r w:rsidR="00904ABF" w:rsidRPr="006E4BB9">
        <w:t>(</w:t>
      </w:r>
      <w:r w:rsidR="006E767C" w:rsidRPr="006E4BB9">
        <w:t>ЕУ</w:t>
      </w:r>
      <w:r w:rsidR="00904ABF" w:rsidRPr="006E4BB9">
        <w:t>)</w:t>
      </w:r>
      <w:r w:rsidR="006E767C" w:rsidRPr="006E4BB9">
        <w:t xml:space="preserve"> број 2016/679 Европског парламента и Савета од </w:t>
      </w:r>
      <w:r w:rsidR="00904ABF" w:rsidRPr="006E4BB9">
        <w:t>27</w:t>
      </w:r>
      <w:r w:rsidR="006E767C" w:rsidRPr="006E4BB9">
        <w:t>. априла</w:t>
      </w:r>
      <w:r w:rsidR="00904ABF" w:rsidRPr="006E4BB9">
        <w:t xml:space="preserve"> 2016</w:t>
      </w:r>
      <w:r w:rsidR="006E767C" w:rsidRPr="006E4BB9">
        <w:t>. године</w:t>
      </w:r>
      <w:r w:rsidR="00904ABF" w:rsidRPr="006E4BB9">
        <w:t xml:space="preserve"> </w:t>
      </w:r>
      <w:r w:rsidR="006E767C" w:rsidRPr="006E4BB9">
        <w:t xml:space="preserve">о заштити физичких лица у погледу обраде података о личности и о слободном кретању тих података и о стављању ван снаге Директиве </w:t>
      </w:r>
      <w:r w:rsidR="00904ABF" w:rsidRPr="006E4BB9">
        <w:t>95/46/</w:t>
      </w:r>
      <w:r w:rsidR="006E767C" w:rsidRPr="006E4BB9">
        <w:t>ЕЗ</w:t>
      </w:r>
      <w:r w:rsidR="00904ABF" w:rsidRPr="006E4BB9">
        <w:t xml:space="preserve"> (</w:t>
      </w:r>
      <w:r w:rsidR="00851DA7" w:rsidRPr="006E4BB9">
        <w:t>Општа уредба о заштити података о личности</w:t>
      </w:r>
      <w:r w:rsidR="00904ABF" w:rsidRPr="006E4BB9">
        <w:t xml:space="preserve">; </w:t>
      </w:r>
      <w:r w:rsidR="00851DA7" w:rsidRPr="006E4BB9">
        <w:t>у даљем тексту</w:t>
      </w:r>
      <w:r w:rsidR="00904ABF" w:rsidRPr="006E4BB9">
        <w:t xml:space="preserve">: </w:t>
      </w:r>
      <w:r w:rsidR="00851DA7" w:rsidRPr="006E4BB9">
        <w:t>„</w:t>
      </w:r>
      <w:r w:rsidR="00CA510A" w:rsidRPr="006E4BB9">
        <w:rPr>
          <w:i/>
        </w:rPr>
        <w:t>GDPR</w:t>
      </w:r>
      <w:r w:rsidR="00851DA7" w:rsidRPr="006E4BB9">
        <w:t>“</w:t>
      </w:r>
      <w:r w:rsidR="00904ABF" w:rsidRPr="006E4BB9">
        <w:t xml:space="preserve">) </w:t>
      </w:r>
      <w:r w:rsidR="006B5519" w:rsidRPr="006E4BB9">
        <w:t xml:space="preserve">са једне стране и са Директивом </w:t>
      </w:r>
      <w:r w:rsidR="00904ABF" w:rsidRPr="006E4BB9">
        <w:t>(</w:t>
      </w:r>
      <w:r w:rsidR="006B5519" w:rsidRPr="006E4BB9">
        <w:t xml:space="preserve">ЕУ) 2016/680 Европског парламента и Савета од </w:t>
      </w:r>
      <w:r w:rsidR="00904ABF" w:rsidRPr="006E4BB9">
        <w:t>27</w:t>
      </w:r>
      <w:r w:rsidR="006B5519" w:rsidRPr="006E4BB9">
        <w:t xml:space="preserve">. априла </w:t>
      </w:r>
      <w:r w:rsidR="00904ABF" w:rsidRPr="006E4BB9">
        <w:t>2016</w:t>
      </w:r>
      <w:r w:rsidR="006B5519" w:rsidRPr="006E4BB9">
        <w:t>. године</w:t>
      </w:r>
      <w:r w:rsidR="00904ABF" w:rsidRPr="006E4BB9">
        <w:t xml:space="preserve"> </w:t>
      </w:r>
      <w:r w:rsidR="006B5519" w:rsidRPr="006E4BB9">
        <w:t>о</w:t>
      </w:r>
      <w:r w:rsidR="00904ABF" w:rsidRPr="006E4BB9">
        <w:t xml:space="preserve"> </w:t>
      </w:r>
      <w:r w:rsidR="006B5519" w:rsidRPr="006E4BB9">
        <w:t>заштити физичких лица у погледу обраде података о личности од стране надлежних органа за сврхе спречавања</w:t>
      </w:r>
      <w:r w:rsidR="00904ABF" w:rsidRPr="006E4BB9">
        <w:t xml:space="preserve">, </w:t>
      </w:r>
      <w:r w:rsidR="006B5519" w:rsidRPr="006E4BB9">
        <w:t>истраге, откривања или кривичног гоњења за кривична дела или извршења кривичних санкција и о слободном кретању тих података</w:t>
      </w:r>
      <w:r w:rsidR="00904ABF" w:rsidRPr="006E4BB9">
        <w:t xml:space="preserve"> (</w:t>
      </w:r>
      <w:r w:rsidR="006B5519" w:rsidRPr="006E4BB9">
        <w:t>која је позната и као „Полицијска директива“ или „Директива о спровођењу закона“</w:t>
      </w:r>
      <w:r w:rsidR="00904ABF" w:rsidRPr="006E4BB9">
        <w:t>;</w:t>
      </w:r>
      <w:r w:rsidR="006B5519" w:rsidRPr="006E4BB9">
        <w:t xml:space="preserve"> у даљем тексту: „</w:t>
      </w:r>
      <w:r w:rsidR="00CA510A" w:rsidRPr="006E4BB9">
        <w:rPr>
          <w:i/>
        </w:rPr>
        <w:t>LED</w:t>
      </w:r>
      <w:r w:rsidR="006B5519" w:rsidRPr="006E4BB9">
        <w:t>“</w:t>
      </w:r>
      <w:r w:rsidR="00904ABF" w:rsidRPr="006E4BB9">
        <w:t xml:space="preserve">). </w:t>
      </w:r>
    </w:p>
    <w:p w14:paraId="7AD2ABE4" w14:textId="77777777" w:rsidR="00904ABF" w:rsidRPr="006E4BB9" w:rsidRDefault="00CA510A" w:rsidP="00904ABF">
      <w:pPr>
        <w:spacing w:before="240" w:after="200" w:line="240" w:lineRule="auto"/>
        <w:jc w:val="both"/>
        <w:rPr>
          <w:b/>
          <w:bCs/>
        </w:rPr>
      </w:pPr>
      <w:r w:rsidRPr="006E4BB9">
        <w:rPr>
          <w:b/>
          <w:bCs/>
          <w:i/>
        </w:rPr>
        <w:t>GDPR</w:t>
      </w:r>
      <w:r w:rsidR="00904ABF" w:rsidRPr="006E4BB9">
        <w:rPr>
          <w:b/>
          <w:bCs/>
        </w:rPr>
        <w:t>:</w:t>
      </w:r>
    </w:p>
    <w:p w14:paraId="7F194DB3" w14:textId="590939D2" w:rsidR="00904ABF" w:rsidRPr="006E4BB9" w:rsidRDefault="00CA510A" w:rsidP="00904ABF">
      <w:pPr>
        <w:jc w:val="both"/>
      </w:pPr>
      <w:r w:rsidRPr="006E4BB9">
        <w:t xml:space="preserve">Велика већина одредби Закона следи </w:t>
      </w:r>
      <w:r w:rsidRPr="006E4BB9">
        <w:rPr>
          <w:i/>
        </w:rPr>
        <w:t>GDPR</w:t>
      </w:r>
      <w:r w:rsidRPr="006E4BB9">
        <w:t xml:space="preserve"> и оне су усклађене са одредбама ове </w:t>
      </w:r>
      <w:r w:rsidR="0003307D">
        <w:t>Уредбе</w:t>
      </w:r>
      <w:r w:rsidRPr="006E4BB9">
        <w:t>. Постојећи закон је</w:t>
      </w:r>
      <w:r w:rsidR="0003307D">
        <w:t>,</w:t>
      </w:r>
      <w:r w:rsidRPr="006E4BB9">
        <w:t xml:space="preserve"> међутим</w:t>
      </w:r>
      <w:r w:rsidR="0003307D">
        <w:t>,</w:t>
      </w:r>
      <w:r w:rsidRPr="006E4BB9">
        <w:t xml:space="preserve"> и даље </w:t>
      </w:r>
      <w:r w:rsidR="0024116A">
        <w:t>неадекватан</w:t>
      </w:r>
      <w:r w:rsidR="0024116A" w:rsidRPr="006E4BB9">
        <w:t xml:space="preserve"> </w:t>
      </w:r>
      <w:r w:rsidRPr="006E4BB9">
        <w:t>у погледу санкција и критеријума за санкционисање</w:t>
      </w:r>
      <w:r w:rsidR="00904ABF" w:rsidRPr="006E4BB9">
        <w:t>.</w:t>
      </w:r>
      <w:r w:rsidRPr="006E4BB9">
        <w:t xml:space="preserve"> Закон је нејасан у погледу тога како ће критеријуми из члана</w:t>
      </w:r>
      <w:r w:rsidR="00904ABF" w:rsidRPr="006E4BB9">
        <w:t xml:space="preserve"> 87</w:t>
      </w:r>
      <w:r w:rsidRPr="006E4BB9">
        <w:t>. за</w:t>
      </w:r>
      <w:r w:rsidR="00904ABF" w:rsidRPr="006E4BB9">
        <w:t xml:space="preserve"> </w:t>
      </w:r>
      <w:r w:rsidRPr="006E4BB9">
        <w:t xml:space="preserve">кажњавање кршења бити поштовани у прекршајном поступку. У члану </w:t>
      </w:r>
      <w:r w:rsidR="00904ABF" w:rsidRPr="006E4BB9">
        <w:t>87</w:t>
      </w:r>
      <w:r w:rsidRPr="006E4BB9">
        <w:t xml:space="preserve">. Закона користи </w:t>
      </w:r>
      <w:r w:rsidR="0024116A">
        <w:t xml:space="preserve">се </w:t>
      </w:r>
      <w:r w:rsidRPr="006E4BB9">
        <w:t xml:space="preserve">реч „административне </w:t>
      </w:r>
      <w:r w:rsidR="0024116A">
        <w:t xml:space="preserve">новчане </w:t>
      </w:r>
      <w:r w:rsidRPr="006E4BB9">
        <w:t xml:space="preserve">казне“ (исто као и у </w:t>
      </w:r>
      <w:r w:rsidRPr="006E4BB9">
        <w:rPr>
          <w:i/>
        </w:rPr>
        <w:t>GDPR</w:t>
      </w:r>
      <w:r w:rsidR="00904ABF" w:rsidRPr="006E4BB9">
        <w:t xml:space="preserve">), </w:t>
      </w:r>
      <w:r w:rsidRPr="006E4BB9">
        <w:t>при чему се у одељку о казнама користи реч „прекршајне“</w:t>
      </w:r>
      <w:r w:rsidR="00904ABF" w:rsidRPr="006E4BB9">
        <w:t>.</w:t>
      </w:r>
      <w:r w:rsidR="00347464" w:rsidRPr="006E4BB9">
        <w:t xml:space="preserve"> Пошто ми нисмо стручњаци за казнене правне прописе у Србији, само бисмо желели да истакнемо да не постоји јасна назнака о томе да ће критеријуми из члана </w:t>
      </w:r>
      <w:r w:rsidR="00904ABF" w:rsidRPr="006E4BB9">
        <w:t>87</w:t>
      </w:r>
      <w:r w:rsidR="00347464" w:rsidRPr="006E4BB9">
        <w:t>. бити</w:t>
      </w:r>
      <w:r w:rsidR="00904ABF" w:rsidRPr="006E4BB9">
        <w:t xml:space="preserve"> </w:t>
      </w:r>
      <w:r w:rsidR="00347464" w:rsidRPr="006E4BB9">
        <w:t>коришћени при утврђивању казне у складу са поступком који ће се примењивати у појединачним случајевима. Осим тога, недостају санкције за неколико обавеза, што указује на неопходност да се изврши темељн</w:t>
      </w:r>
      <w:r w:rsidR="001C5990">
        <w:t>о преиспитивање</w:t>
      </w:r>
      <w:r w:rsidR="00347464" w:rsidRPr="006E4BB9">
        <w:t xml:space="preserve"> казнених одредби са упућивањем на члан </w:t>
      </w:r>
      <w:r w:rsidR="00904ABF" w:rsidRPr="006E4BB9">
        <w:t>83</w:t>
      </w:r>
      <w:r w:rsidR="00347464" w:rsidRPr="006E4BB9">
        <w:t>. став</w:t>
      </w:r>
      <w:r w:rsidR="00904ABF" w:rsidRPr="006E4BB9">
        <w:t xml:space="preserve"> </w:t>
      </w:r>
      <w:r w:rsidR="00347464" w:rsidRPr="006E4BB9">
        <w:t>(</w:t>
      </w:r>
      <w:r w:rsidR="00904ABF" w:rsidRPr="006E4BB9">
        <w:t>4)</w:t>
      </w:r>
      <w:r w:rsidR="00347464" w:rsidRPr="006E4BB9">
        <w:t xml:space="preserve"> до</w:t>
      </w:r>
      <w:r w:rsidR="00904ABF" w:rsidRPr="006E4BB9">
        <w:t xml:space="preserve"> (6) </w:t>
      </w:r>
      <w:r w:rsidRPr="006E4BB9">
        <w:rPr>
          <w:i/>
        </w:rPr>
        <w:t>GDPR</w:t>
      </w:r>
      <w:r w:rsidR="00904ABF" w:rsidRPr="006E4BB9">
        <w:t xml:space="preserve">.  </w:t>
      </w:r>
    </w:p>
    <w:p w14:paraId="08C6C03F" w14:textId="4CD28CD9" w:rsidR="00904ABF" w:rsidRPr="006E4BB9" w:rsidRDefault="00347464" w:rsidP="00904ABF">
      <w:pPr>
        <w:jc w:val="both"/>
      </w:pPr>
      <w:r w:rsidRPr="006E4BB9">
        <w:t xml:space="preserve">Такође треба поменути чињеницу да Закон сам по себи не садржи даљу разраду начела, института и решења који су пружени у </w:t>
      </w:r>
      <w:r w:rsidR="00CA510A" w:rsidRPr="006E4BB9">
        <w:rPr>
          <w:i/>
        </w:rPr>
        <w:t>GDPR</w:t>
      </w:r>
      <w:r w:rsidR="00904ABF" w:rsidRPr="006E4BB9">
        <w:t xml:space="preserve">. </w:t>
      </w:r>
      <w:r w:rsidRPr="006E4BB9">
        <w:t xml:space="preserve">Према нашем мишљењу, није у супротности са </w:t>
      </w:r>
      <w:r w:rsidR="00904ABF" w:rsidRPr="006E4BB9">
        <w:t xml:space="preserve"> </w:t>
      </w:r>
      <w:r w:rsidR="00CA510A" w:rsidRPr="006E4BB9">
        <w:rPr>
          <w:i/>
        </w:rPr>
        <w:t>GDPR</w:t>
      </w:r>
      <w:r w:rsidR="00904ABF" w:rsidRPr="006E4BB9">
        <w:t xml:space="preserve"> </w:t>
      </w:r>
      <w:r w:rsidRPr="006E4BB9">
        <w:t>да се</w:t>
      </w:r>
      <w:r w:rsidR="00382018" w:rsidRPr="006E4BB9">
        <w:t xml:space="preserve"> националним законом</w:t>
      </w:r>
      <w:r w:rsidRPr="006E4BB9">
        <w:t xml:space="preserve"> осим тога уреде и одређене области које нису укључене у област примене </w:t>
      </w:r>
      <w:r w:rsidR="00CA510A" w:rsidRPr="006E4BB9">
        <w:rPr>
          <w:i/>
        </w:rPr>
        <w:t>GDPR</w:t>
      </w:r>
      <w:r w:rsidR="00904ABF" w:rsidRPr="006E4BB9">
        <w:t xml:space="preserve">, </w:t>
      </w:r>
      <w:r w:rsidR="00382018" w:rsidRPr="006E4BB9">
        <w:t>уколико за тим постоји потреба</w:t>
      </w:r>
      <w:r w:rsidR="00904ABF" w:rsidRPr="006E4BB9">
        <w:t xml:space="preserve">. </w:t>
      </w:r>
      <w:r w:rsidR="00382018" w:rsidRPr="006E4BB9">
        <w:t xml:space="preserve">У овом погледу се може уредити заштита података о личности преминулих лица. Осим тога, видео надзор, биометријски подаци, евиденције о уласку у и изласку из објеката и друге специфичне области би могле бити предмет посебног прописа како би се избегла погрешна тумачења и правна </w:t>
      </w:r>
      <w:r w:rsidR="008C0E88">
        <w:t>несигурност</w:t>
      </w:r>
      <w:r w:rsidR="00904ABF" w:rsidRPr="006E4BB9">
        <w:t xml:space="preserve">. </w:t>
      </w:r>
      <w:r w:rsidR="0013774F" w:rsidRPr="006E4BB9">
        <w:t>За специфичне ситуације обраде података</w:t>
      </w:r>
      <w:r w:rsidR="00904ABF" w:rsidRPr="006E4BB9">
        <w:t xml:space="preserve"> (</w:t>
      </w:r>
      <w:r w:rsidR="0013774F" w:rsidRPr="006E4BB9">
        <w:t>архивирање у јавном интересу, за сврхе научних или историјских истраживања и у статистичке сврхе, итд.</w:t>
      </w:r>
      <w:r w:rsidR="00904ABF" w:rsidRPr="006E4BB9">
        <w:t xml:space="preserve">) </w:t>
      </w:r>
      <w:r w:rsidR="0013774F" w:rsidRPr="006E4BB9">
        <w:t xml:space="preserve">у Закону би се могао применити индикативан приступ </w:t>
      </w:r>
      <w:r w:rsidR="0013774F" w:rsidRPr="006E4BB9">
        <w:lastRenderedPageBreak/>
        <w:t>како би се указало на одређене националне правне прописе којима су обухваћене наведене области</w:t>
      </w:r>
      <w:r w:rsidR="00904ABF" w:rsidRPr="006E4BB9">
        <w:t>.</w:t>
      </w:r>
    </w:p>
    <w:p w14:paraId="4BC9D9DF" w14:textId="7568F98C" w:rsidR="00904ABF" w:rsidRPr="006E4BB9" w:rsidRDefault="0013774F" w:rsidP="00904ABF">
      <w:pPr>
        <w:jc w:val="both"/>
      </w:pPr>
      <w:r w:rsidRPr="006E4BB9">
        <w:t xml:space="preserve">Једна од најважнијих предности хармонизације са правним тековинама ЕУ би могла бити то што би се </w:t>
      </w:r>
      <w:r w:rsidR="009B3CBB">
        <w:t>руковаоци</w:t>
      </w:r>
      <w:r w:rsidR="00563CED">
        <w:t xml:space="preserve"> и обрађивачи</w:t>
      </w:r>
      <w:r w:rsidR="00904ABF" w:rsidRPr="006E4BB9">
        <w:t xml:space="preserve"> (</w:t>
      </w:r>
      <w:r w:rsidRPr="006E4BB9">
        <w:t>а нарочито микро, мала и средња предузећа која би желела да остваре пословну сарадњу са партнерима или клијентима у Србији и у другим крајевима света</w:t>
      </w:r>
      <w:r w:rsidR="00904ABF" w:rsidRPr="006E4BB9">
        <w:t xml:space="preserve">) </w:t>
      </w:r>
      <w:r w:rsidRPr="006E4BB9">
        <w:t>могли ослонити на исте стандарде за пренос</w:t>
      </w:r>
      <w:r w:rsidR="00A4375C">
        <w:t xml:space="preserve"> података</w:t>
      </w:r>
      <w:r w:rsidRPr="006E4BB9">
        <w:t xml:space="preserve"> који су усвојени и у ЕУ. Када би таква предузећа могла, на пример, да користе стандардне уговорне клаузуле усвојене од стране Европске комисије за </w:t>
      </w:r>
      <w:r w:rsidR="002027EB" w:rsidRPr="006E4BB9">
        <w:t xml:space="preserve">састављање </w:t>
      </w:r>
      <w:r w:rsidRPr="006E4BB9">
        <w:t xml:space="preserve">уговора којима би </w:t>
      </w:r>
      <w:r w:rsidR="00563CED">
        <w:t>т</w:t>
      </w:r>
      <w:r w:rsidRPr="006E4BB9">
        <w:t>а</w:t>
      </w:r>
      <w:r w:rsidR="00563CED">
        <w:t xml:space="preserve"> предузећа</w:t>
      </w:r>
      <w:r w:rsidRPr="006E4BB9">
        <w:t xml:space="preserve"> обезбедила</w:t>
      </w:r>
      <w:r w:rsidR="002027EB" w:rsidRPr="006E4BB9">
        <w:t xml:space="preserve"> </w:t>
      </w:r>
      <w:r w:rsidR="00563CED">
        <w:t>пренос</w:t>
      </w:r>
      <w:r w:rsidR="002027EB" w:rsidRPr="006E4BB9">
        <w:t xml:space="preserve"> података</w:t>
      </w:r>
      <w:r w:rsidR="00563CED">
        <w:t xml:space="preserve"> о личности</w:t>
      </w:r>
      <w:r w:rsidR="002027EB" w:rsidRPr="006E4BB9">
        <w:t xml:space="preserve"> из ЕУ у Србију и даље, т</w:t>
      </w:r>
      <w:r w:rsidRPr="006E4BB9">
        <w:t xml:space="preserve">о би </w:t>
      </w:r>
      <w:r w:rsidR="00563CED" w:rsidRPr="006E4BB9">
        <w:t xml:space="preserve">за </w:t>
      </w:r>
      <w:r w:rsidR="00563CED">
        <w:t>њих</w:t>
      </w:r>
      <w:r w:rsidR="00563CED" w:rsidRPr="006E4BB9">
        <w:t xml:space="preserve"> </w:t>
      </w:r>
      <w:r w:rsidRPr="006E4BB9">
        <w:t>представљало значајну практичну вредност</w:t>
      </w:r>
      <w:r w:rsidR="00904ABF" w:rsidRPr="006E4BB9">
        <w:t xml:space="preserve">. </w:t>
      </w:r>
      <w:r w:rsidR="002027EB" w:rsidRPr="006E4BB9">
        <w:t xml:space="preserve">Исто би требало да важи и за друге механизме </w:t>
      </w:r>
      <w:r w:rsidR="00563CED">
        <w:t>преноса</w:t>
      </w:r>
      <w:r w:rsidR="002027EB" w:rsidRPr="006E4BB9">
        <w:t xml:space="preserve"> података</w:t>
      </w:r>
      <w:r w:rsidR="00563CED">
        <w:t xml:space="preserve"> о личности</w:t>
      </w:r>
      <w:r w:rsidR="002027EB" w:rsidRPr="006E4BB9">
        <w:t xml:space="preserve"> на основу „</w:t>
      </w:r>
      <w:r w:rsidR="00A4375C">
        <w:t>одговарајућих</w:t>
      </w:r>
      <w:r w:rsidR="00A4375C" w:rsidRPr="006E4BB9">
        <w:t xml:space="preserve"> </w:t>
      </w:r>
      <w:r w:rsidR="002027EB" w:rsidRPr="006E4BB9">
        <w:t>мера заштите“ у случајевима у којима никакво посебно одобрење од органа за заштиту података о личности НИЈЕ потребно</w:t>
      </w:r>
      <w:r w:rsidR="00904ABF" w:rsidRPr="006E4BB9">
        <w:t xml:space="preserve"> (</w:t>
      </w:r>
      <w:r w:rsidR="002027EB" w:rsidRPr="006E4BB9">
        <w:t>а нарочито</w:t>
      </w:r>
      <w:r w:rsidR="00904ABF" w:rsidRPr="006E4BB9">
        <w:t xml:space="preserve">: </w:t>
      </w:r>
      <w:r w:rsidR="002027EB" w:rsidRPr="006E4BB9">
        <w:t>стандардне уговорне клаузуле</w:t>
      </w:r>
      <w:r w:rsidR="00904ABF" w:rsidRPr="006E4BB9">
        <w:t xml:space="preserve">; </w:t>
      </w:r>
      <w:r w:rsidR="002027EB" w:rsidRPr="006E4BB9">
        <w:t xml:space="preserve">обавезујућа </w:t>
      </w:r>
      <w:r w:rsidR="00A4375C">
        <w:t>пословна</w:t>
      </w:r>
      <w:r w:rsidR="00A4375C" w:rsidRPr="006E4BB9">
        <w:t xml:space="preserve"> </w:t>
      </w:r>
      <w:r w:rsidR="002027EB" w:rsidRPr="006E4BB9">
        <w:t>правила</w:t>
      </w:r>
      <w:r w:rsidR="00904ABF" w:rsidRPr="006E4BB9">
        <w:t>;</w:t>
      </w:r>
      <w:r w:rsidR="002027EB" w:rsidRPr="006E4BB9">
        <w:t xml:space="preserve"> кодекси понашања</w:t>
      </w:r>
      <w:r w:rsidR="00904ABF" w:rsidRPr="006E4BB9">
        <w:t xml:space="preserve">; </w:t>
      </w:r>
      <w:r w:rsidR="002027EB" w:rsidRPr="006E4BB9">
        <w:t>механизми за сертификацију</w:t>
      </w:r>
      <w:r w:rsidR="00904ABF" w:rsidRPr="006E4BB9">
        <w:t xml:space="preserve">). </w:t>
      </w:r>
      <w:r w:rsidR="002027EB" w:rsidRPr="006E4BB9">
        <w:t>У Закону није предвиђено никакво „стандардно препознавање“ одговарајућих заштитних мера одобрених у складу са</w:t>
      </w:r>
      <w:r w:rsidR="00904ABF" w:rsidRPr="006E4BB9">
        <w:t xml:space="preserve"> </w:t>
      </w:r>
      <w:r w:rsidR="00CA510A" w:rsidRPr="006E4BB9">
        <w:rPr>
          <w:i/>
        </w:rPr>
        <w:t>GDPR</w:t>
      </w:r>
      <w:r w:rsidR="002027EB" w:rsidRPr="006E4BB9">
        <w:t xml:space="preserve"> од стране надлежних органа ЕУ. Други предлог за решење би такође могао бити да би одобрене одговарајуће заштитне мере у складу са </w:t>
      </w:r>
      <w:r w:rsidR="00CA510A" w:rsidRPr="006E4BB9">
        <w:rPr>
          <w:i/>
          <w:szCs w:val="24"/>
        </w:rPr>
        <w:t>GDPR</w:t>
      </w:r>
      <w:r w:rsidR="002027EB" w:rsidRPr="006E4BB9">
        <w:rPr>
          <w:szCs w:val="24"/>
        </w:rPr>
        <w:t xml:space="preserve"> могле бити важеће у Србији уколико би била донета афирмативна одлука именованог надлежног органа у Србији за сваку „одговарајућу заштитну меру“</w:t>
      </w:r>
      <w:r w:rsidR="00904ABF" w:rsidRPr="006E4BB9">
        <w:rPr>
          <w:szCs w:val="24"/>
        </w:rPr>
        <w:t xml:space="preserve"> (</w:t>
      </w:r>
      <w:r w:rsidR="002027EB" w:rsidRPr="006E4BB9">
        <w:rPr>
          <w:szCs w:val="24"/>
        </w:rPr>
        <w:t xml:space="preserve">стандардне уговорне клаузуле, обавезујућа </w:t>
      </w:r>
      <w:r w:rsidR="00A4375C">
        <w:rPr>
          <w:szCs w:val="24"/>
        </w:rPr>
        <w:t>пословна</w:t>
      </w:r>
      <w:r w:rsidR="00A4375C" w:rsidRPr="006E4BB9">
        <w:rPr>
          <w:szCs w:val="24"/>
        </w:rPr>
        <w:t xml:space="preserve"> </w:t>
      </w:r>
      <w:r w:rsidR="002027EB" w:rsidRPr="006E4BB9">
        <w:rPr>
          <w:szCs w:val="24"/>
        </w:rPr>
        <w:t>правила,</w:t>
      </w:r>
      <w:r w:rsidR="00563CED">
        <w:rPr>
          <w:szCs w:val="24"/>
        </w:rPr>
        <w:t xml:space="preserve"> кодекси понашања, механизми за издавање </w:t>
      </w:r>
      <w:r w:rsidR="002027EB" w:rsidRPr="006E4BB9">
        <w:rPr>
          <w:szCs w:val="24"/>
        </w:rPr>
        <w:t>сертифика</w:t>
      </w:r>
      <w:r w:rsidR="00563CED">
        <w:rPr>
          <w:szCs w:val="24"/>
        </w:rPr>
        <w:t>та</w:t>
      </w:r>
      <w:r w:rsidR="002027EB" w:rsidRPr="006E4BB9">
        <w:rPr>
          <w:szCs w:val="24"/>
        </w:rPr>
        <w:t>, итд</w:t>
      </w:r>
      <w:r w:rsidR="00904ABF" w:rsidRPr="006E4BB9">
        <w:rPr>
          <w:szCs w:val="24"/>
        </w:rPr>
        <w:t>.)</w:t>
      </w:r>
      <w:r w:rsidR="002027EB" w:rsidRPr="006E4BB9">
        <w:rPr>
          <w:szCs w:val="24"/>
        </w:rPr>
        <w:t xml:space="preserve"> која је већ одобрена од стране ЕУ као таква</w:t>
      </w:r>
      <w:r w:rsidR="00904ABF" w:rsidRPr="006E4BB9">
        <w:rPr>
          <w:szCs w:val="24"/>
        </w:rPr>
        <w:t xml:space="preserve">. </w:t>
      </w:r>
      <w:r w:rsidR="002027EB" w:rsidRPr="006E4BB9">
        <w:rPr>
          <w:szCs w:val="24"/>
        </w:rPr>
        <w:t xml:space="preserve">Предложена решења би допринела усклађеном приступу </w:t>
      </w:r>
      <w:r w:rsidR="00563CED">
        <w:rPr>
          <w:szCs w:val="24"/>
        </w:rPr>
        <w:t>пренос</w:t>
      </w:r>
      <w:r w:rsidR="00FB38B5">
        <w:rPr>
          <w:szCs w:val="24"/>
        </w:rPr>
        <w:t>у</w:t>
      </w:r>
      <w:r w:rsidR="00563CED">
        <w:rPr>
          <w:szCs w:val="24"/>
        </w:rPr>
        <w:t xml:space="preserve"> података о личности</w:t>
      </w:r>
      <w:r w:rsidR="002027EB" w:rsidRPr="006E4BB9">
        <w:rPr>
          <w:szCs w:val="24"/>
        </w:rPr>
        <w:t xml:space="preserve"> у треће земље уз коришћење истих високих стандарда за заштиту података као што су стандарди захтевани</w:t>
      </w:r>
      <w:r w:rsidR="00563CED">
        <w:rPr>
          <w:szCs w:val="24"/>
        </w:rPr>
        <w:t xml:space="preserve"> према</w:t>
      </w:r>
      <w:r w:rsidR="002027EB" w:rsidRPr="006E4BB9">
        <w:rPr>
          <w:szCs w:val="24"/>
        </w:rPr>
        <w:t xml:space="preserve"> </w:t>
      </w:r>
      <w:r w:rsidR="00CA510A" w:rsidRPr="006E4BB9">
        <w:rPr>
          <w:i/>
        </w:rPr>
        <w:t>GDPR</w:t>
      </w:r>
      <w:r w:rsidR="00A430FF" w:rsidRPr="006E4BB9">
        <w:t>.</w:t>
      </w:r>
    </w:p>
    <w:p w14:paraId="19B82791" w14:textId="77777777" w:rsidR="00904ABF" w:rsidRPr="006E4BB9" w:rsidRDefault="00CA510A" w:rsidP="00904ABF">
      <w:pPr>
        <w:spacing w:before="240" w:after="200" w:line="240" w:lineRule="auto"/>
        <w:jc w:val="both"/>
        <w:rPr>
          <w:b/>
          <w:bCs/>
        </w:rPr>
      </w:pPr>
      <w:r w:rsidRPr="006E4BB9">
        <w:rPr>
          <w:b/>
          <w:bCs/>
          <w:i/>
        </w:rPr>
        <w:t>LED</w:t>
      </w:r>
      <w:r w:rsidR="00904ABF" w:rsidRPr="006E4BB9">
        <w:rPr>
          <w:b/>
          <w:bCs/>
        </w:rPr>
        <w:t>:</w:t>
      </w:r>
    </w:p>
    <w:p w14:paraId="48D29A33" w14:textId="7724D096" w:rsidR="00904ABF" w:rsidRPr="006E4BB9" w:rsidRDefault="002027EB" w:rsidP="00904ABF">
      <w:pPr>
        <w:jc w:val="both"/>
        <w:rPr>
          <w:rFonts w:cs="Calibri"/>
        </w:rPr>
      </w:pPr>
      <w:r w:rsidRPr="006E4BB9">
        <w:t xml:space="preserve">Одредбе којима се уређује обрада података од стране надлежних органа </w:t>
      </w:r>
      <w:r w:rsidR="00F05F8F">
        <w:t>у</w:t>
      </w:r>
      <w:r w:rsidR="00F05F8F" w:rsidRPr="006E4BB9">
        <w:t xml:space="preserve"> </w:t>
      </w:r>
      <w:r w:rsidRPr="006E4BB9">
        <w:t>сврхе спречавања, истраге</w:t>
      </w:r>
      <w:r w:rsidR="00F05F8F">
        <w:t xml:space="preserve"> и откривања кривичнихдела, гоњења учинилаца кривичних дела </w:t>
      </w:r>
      <w:r w:rsidRPr="006E4BB9">
        <w:t>или извршења кривичних санкција, укључујући спречавање и заштиту од претњи по јавну и националну безбедност</w:t>
      </w:r>
      <w:r w:rsidR="006610F8">
        <w:t xml:space="preserve"> </w:t>
      </w:r>
      <w:r w:rsidR="000673D1">
        <w:t>(</w:t>
      </w:r>
      <w:r w:rsidRPr="006E4BB9">
        <w:t>у даљем тексту</w:t>
      </w:r>
      <w:r w:rsidR="00904ABF" w:rsidRPr="006E4BB9">
        <w:t xml:space="preserve">: </w:t>
      </w:r>
      <w:r w:rsidRPr="006E4BB9">
        <w:t>„обрада у посебне сврхе“</w:t>
      </w:r>
      <w:r w:rsidR="006610F8">
        <w:t>)</w:t>
      </w:r>
      <w:r w:rsidRPr="006E4BB9">
        <w:t xml:space="preserve">, разбацане су у свим деловима Закона, што </w:t>
      </w:r>
      <w:r w:rsidR="00AA424E" w:rsidRPr="006E4BB9">
        <w:t>отежава његово читање и разумевање његовог циља и сврхе</w:t>
      </w:r>
      <w:r w:rsidR="00904ABF" w:rsidRPr="006E4BB9">
        <w:t>.</w:t>
      </w:r>
      <w:r w:rsidR="00904ABF" w:rsidRPr="006E4BB9">
        <w:rPr>
          <w:rFonts w:cs="Calibri"/>
        </w:rPr>
        <w:t xml:space="preserve"> </w:t>
      </w:r>
    </w:p>
    <w:p w14:paraId="52727D07" w14:textId="77777777" w:rsidR="00904ABF" w:rsidRPr="006E4BB9" w:rsidRDefault="00AA424E" w:rsidP="00904ABF">
      <w:pPr>
        <w:jc w:val="both"/>
      </w:pPr>
      <w:r w:rsidRPr="006E4BB9">
        <w:t>Чини се да је општи приступ</w:t>
      </w:r>
      <w:r w:rsidR="00C801DC">
        <w:t xml:space="preserve"> примењен</w:t>
      </w:r>
      <w:r w:rsidRPr="006E4BB9">
        <w:t xml:space="preserve"> код Закона, који је очит у многим одредбама, да се предвиди у завршном или у једном од ставова да се одредбе одређеног члана или неки од ставова датог члана не примењују у случају обраде података од стране надлежних органа у посебне сврхе</w:t>
      </w:r>
      <w:r w:rsidR="00904ABF" w:rsidRPr="006E4BB9">
        <w:t>.</w:t>
      </w:r>
    </w:p>
    <w:p w14:paraId="0D3361F8" w14:textId="5A62EFB8" w:rsidR="00100C46" w:rsidRPr="006E4BB9" w:rsidRDefault="00AA424E" w:rsidP="00904ABF">
      <w:pPr>
        <w:jc w:val="both"/>
        <w:rPr>
          <w:rFonts w:cs="Calibri"/>
        </w:rPr>
      </w:pPr>
      <w:r w:rsidRPr="006E4BB9">
        <w:t>Било би практичније и свеобухватније користити другачију методологију, а вероватно најбоље решење би било да се изради засебно поглавље Закона. Могле би се примењивати опште одредбе Закона</w:t>
      </w:r>
      <w:r w:rsidR="00904ABF" w:rsidRPr="006E4BB9">
        <w:t xml:space="preserve"> (</w:t>
      </w:r>
      <w:r w:rsidRPr="006E4BB9">
        <w:t xml:space="preserve">Поглавља 2. до </w:t>
      </w:r>
      <w:r w:rsidR="00904ABF" w:rsidRPr="006E4BB9">
        <w:t>7</w:t>
      </w:r>
      <w:r w:rsidRPr="006E4BB9">
        <w:t>. о</w:t>
      </w:r>
      <w:r w:rsidR="00904ABF" w:rsidRPr="006E4BB9">
        <w:t xml:space="preserve"> </w:t>
      </w:r>
      <w:r w:rsidRPr="006E4BB9">
        <w:t xml:space="preserve">начелима, правима лица на која се подаци односе, </w:t>
      </w:r>
      <w:r w:rsidR="009B3CBB">
        <w:t>руковаоцу</w:t>
      </w:r>
      <w:r w:rsidR="00563CED">
        <w:t xml:space="preserve"> и обрађивачу</w:t>
      </w:r>
      <w:r w:rsidR="00904ABF" w:rsidRPr="006E4BB9">
        <w:t>,</w:t>
      </w:r>
      <w:r w:rsidRPr="006E4BB9">
        <w:t xml:space="preserve"> преносу података о личности у треће земље или међународним организацијама</w:t>
      </w:r>
      <w:r w:rsidR="00904ABF" w:rsidRPr="006E4BB9">
        <w:t>,</w:t>
      </w:r>
      <w:r w:rsidRPr="006E4BB9">
        <w:t xml:space="preserve"> Поверенику, правним средствима, одговорности и санкцијама</w:t>
      </w:r>
      <w:r w:rsidR="00904ABF" w:rsidRPr="006E4BB9">
        <w:t>)</w:t>
      </w:r>
      <w:r w:rsidR="0007755B" w:rsidRPr="006E4BB9">
        <w:t xml:space="preserve">, а посебним одредбама којима би се уређивали изузеци од општег режима би се </w:t>
      </w:r>
      <w:r w:rsidR="00C801DC">
        <w:t>ово питање</w:t>
      </w:r>
      <w:r w:rsidR="0007755B" w:rsidRPr="006E4BB9">
        <w:t xml:space="preserve"> могло уредити у засебном поглављу</w:t>
      </w:r>
      <w:r w:rsidR="00904ABF" w:rsidRPr="006E4BB9">
        <w:t xml:space="preserve">. </w:t>
      </w:r>
      <w:r w:rsidR="0007755B" w:rsidRPr="006E4BB9">
        <w:t>Изузеци треба да се примењују нарочито на сврхе обраде, права приступа лица на која се подаци односе</w:t>
      </w:r>
      <w:r w:rsidR="00904ABF" w:rsidRPr="006E4BB9">
        <w:t xml:space="preserve">, </w:t>
      </w:r>
      <w:r w:rsidR="0007755B" w:rsidRPr="006E4BB9">
        <w:t>обавештавање лица на која се подаци односе</w:t>
      </w:r>
      <w:r w:rsidR="00904ABF" w:rsidRPr="006E4BB9">
        <w:t>,</w:t>
      </w:r>
      <w:r w:rsidR="0007755B" w:rsidRPr="006E4BB9">
        <w:t xml:space="preserve"> квалитет података, аутоматизовано доношење одлука, евиденције, пренос података о личности у треће земље и на друга питања која треба да буду уређена другачије следећи одредбе </w:t>
      </w:r>
      <w:r w:rsidR="00CA510A" w:rsidRPr="006E4BB9">
        <w:rPr>
          <w:i/>
        </w:rPr>
        <w:t>LED</w:t>
      </w:r>
      <w:r w:rsidR="00904ABF" w:rsidRPr="006E4BB9">
        <w:t>.</w:t>
      </w:r>
      <w:r w:rsidR="0007755B" w:rsidRPr="006E4BB9">
        <w:t xml:space="preserve"> При навођењу задатака и овлашћења Повереника у вези са обрадом података о личности од стране надлежних органа у посебне сврхе, требало би имати на уму да би ово важно питање требало уредити на</w:t>
      </w:r>
      <w:r w:rsidR="00C801DC">
        <w:t xml:space="preserve"> начин који је у највећој </w:t>
      </w:r>
      <w:r w:rsidR="0007755B" w:rsidRPr="006E4BB9">
        <w:t>могућ</w:t>
      </w:r>
      <w:r w:rsidR="00C801DC">
        <w:t>ој</w:t>
      </w:r>
      <w:r w:rsidR="0007755B" w:rsidRPr="006E4BB9">
        <w:t xml:space="preserve"> </w:t>
      </w:r>
      <w:r w:rsidR="00C801DC">
        <w:t xml:space="preserve">мери </w:t>
      </w:r>
      <w:r w:rsidR="0007755B" w:rsidRPr="006E4BB9">
        <w:t>слич</w:t>
      </w:r>
      <w:r w:rsidR="00C801DC">
        <w:t>а</w:t>
      </w:r>
      <w:r w:rsidR="0007755B" w:rsidRPr="006E4BB9">
        <w:t>н начин</w:t>
      </w:r>
      <w:r w:rsidR="00C801DC">
        <w:t xml:space="preserve">у </w:t>
      </w:r>
      <w:r w:rsidR="0007755B" w:rsidRPr="006E4BB9">
        <w:t xml:space="preserve">примењеном у </w:t>
      </w:r>
      <w:r w:rsidR="00CA510A" w:rsidRPr="006E4BB9">
        <w:rPr>
          <w:i/>
        </w:rPr>
        <w:t>GDPR</w:t>
      </w:r>
      <w:r w:rsidR="00904ABF" w:rsidRPr="006E4BB9">
        <w:t xml:space="preserve">. </w:t>
      </w:r>
      <w:r w:rsidR="0007755B" w:rsidRPr="006E4BB9">
        <w:t xml:space="preserve">Овлашћења </w:t>
      </w:r>
      <w:r w:rsidR="0007755B" w:rsidRPr="006E4BB9">
        <w:lastRenderedPageBreak/>
        <w:t>Повереника би требало да буду делотворна и спр</w:t>
      </w:r>
      <w:r w:rsidR="00B956F1" w:rsidRPr="006E4BB9">
        <w:t>о</w:t>
      </w:r>
      <w:r w:rsidR="0007755B" w:rsidRPr="006E4BB9">
        <w:t>водива</w:t>
      </w:r>
      <w:r w:rsidR="00B956F1" w:rsidRPr="006E4BB9">
        <w:t xml:space="preserve">, тако да и </w:t>
      </w:r>
      <w:r w:rsidR="00CA510A" w:rsidRPr="006E4BB9">
        <w:rPr>
          <w:i/>
        </w:rPr>
        <w:t>LED</w:t>
      </w:r>
      <w:r w:rsidR="00B956F1" w:rsidRPr="006E4BB9">
        <w:t xml:space="preserve"> и</w:t>
      </w:r>
      <w:r w:rsidR="00904ABF" w:rsidRPr="006E4BB9">
        <w:t xml:space="preserve"> </w:t>
      </w:r>
      <w:r w:rsidR="00CA510A" w:rsidRPr="006E4BB9">
        <w:rPr>
          <w:i/>
        </w:rPr>
        <w:t>GDPR</w:t>
      </w:r>
      <w:r w:rsidR="00904ABF" w:rsidRPr="006E4BB9">
        <w:t xml:space="preserve"> </w:t>
      </w:r>
      <w:r w:rsidR="00C801DC">
        <w:t>буду на истоветан начин</w:t>
      </w:r>
      <w:r w:rsidR="00B956F1" w:rsidRPr="006E4BB9">
        <w:t xml:space="preserve"> тумачене и да </w:t>
      </w:r>
      <w:r w:rsidR="00C801DC">
        <w:t>с</w:t>
      </w:r>
      <w:r w:rsidR="00B956F1" w:rsidRPr="006E4BB9">
        <w:t>е на тај начин допринес</w:t>
      </w:r>
      <w:r w:rsidR="00C801DC">
        <w:t>е</w:t>
      </w:r>
      <w:r w:rsidR="00B956F1" w:rsidRPr="006E4BB9">
        <w:t xml:space="preserve"> доследној и кохерентној пракси у области заштите података о личности</w:t>
      </w:r>
      <w:r w:rsidR="00904ABF" w:rsidRPr="006E4BB9">
        <w:t>.</w:t>
      </w:r>
      <w:r w:rsidR="00904ABF" w:rsidRPr="006E4BB9">
        <w:rPr>
          <w:rFonts w:cs="Calibri"/>
        </w:rPr>
        <w:t xml:space="preserve"> </w:t>
      </w:r>
    </w:p>
    <w:p w14:paraId="07421434" w14:textId="77777777" w:rsidR="00904ABF" w:rsidRPr="006E4BB9" w:rsidRDefault="00C801DC" w:rsidP="00904ABF">
      <w:pPr>
        <w:jc w:val="both"/>
      </w:pPr>
      <w:r>
        <w:t>Ако би се применила</w:t>
      </w:r>
      <w:r w:rsidR="00D76CDE" w:rsidRPr="006E4BB9">
        <w:t xml:space="preserve"> овакв</w:t>
      </w:r>
      <w:r>
        <w:t>а</w:t>
      </w:r>
      <w:r w:rsidR="00D76CDE" w:rsidRPr="006E4BB9">
        <w:t xml:space="preserve"> методологија</w:t>
      </w:r>
      <w:r>
        <w:t>,</w:t>
      </w:r>
      <w:r w:rsidR="00D76CDE" w:rsidRPr="006E4BB9">
        <w:t xml:space="preserve"> Закон </w:t>
      </w:r>
      <w:r>
        <w:t xml:space="preserve">би </w:t>
      </w:r>
      <w:r w:rsidR="00D76CDE" w:rsidRPr="006E4BB9">
        <w:t>био боље структурисан, а пре свега, било би га лакше читати и био би свеобухватнији</w:t>
      </w:r>
      <w:r w:rsidR="00904ABF" w:rsidRPr="006E4BB9">
        <w:t>.</w:t>
      </w:r>
    </w:p>
    <w:p w14:paraId="0D0DCFB5" w14:textId="6E2321F8" w:rsidR="00904ABF" w:rsidRPr="006E4BB9" w:rsidRDefault="00C40C9E" w:rsidP="00904ABF">
      <w:pPr>
        <w:jc w:val="both"/>
      </w:pPr>
      <w:r w:rsidRPr="00A8598F">
        <w:rPr>
          <w:lang w:val="sr-Cyrl-RS"/>
        </w:rPr>
        <w:t xml:space="preserve">Уз то, Законом би требало јасно и </w:t>
      </w:r>
      <w:r>
        <w:rPr>
          <w:lang w:val="sr-Cyrl-RS"/>
        </w:rPr>
        <w:t xml:space="preserve">прецизно </w:t>
      </w:r>
      <w:r w:rsidRPr="00A8598F">
        <w:rPr>
          <w:lang w:val="sr-Cyrl-RS"/>
        </w:rPr>
        <w:t xml:space="preserve">предвидети да обрада података од стране надлежних органа која се не врши у посебне сврхе </w:t>
      </w:r>
      <w:r w:rsidR="00D76CDE" w:rsidRPr="006E4BB9">
        <w:rPr>
          <w:rFonts w:cs="Calibri"/>
        </w:rPr>
        <w:t>потпада под област примере овог Закона и да је уређена (општим) одредбама овог Закона</w:t>
      </w:r>
      <w:r w:rsidR="00904ABF" w:rsidRPr="006E4BB9">
        <w:rPr>
          <w:rFonts w:cs="Calibri"/>
        </w:rPr>
        <w:t>.</w:t>
      </w:r>
    </w:p>
    <w:p w14:paraId="65E60ACC" w14:textId="1C668FFF" w:rsidR="00904ABF" w:rsidRPr="006E4BB9" w:rsidRDefault="00D76CDE" w:rsidP="00904ABF">
      <w:pPr>
        <w:jc w:val="both"/>
      </w:pPr>
      <w:r w:rsidRPr="006E4BB9">
        <w:t xml:space="preserve">Закон садржи неколико одредби чији је циљ </w:t>
      </w:r>
      <w:r w:rsidR="00904ABF" w:rsidRPr="006E4BB9">
        <w:t>(</w:t>
      </w:r>
      <w:r w:rsidR="00AB481B">
        <w:rPr>
          <w:lang w:val="sr-Cyrl-RS"/>
        </w:rPr>
        <w:t>евентуално</w:t>
      </w:r>
      <w:r w:rsidR="00904ABF" w:rsidRPr="006E4BB9">
        <w:t xml:space="preserve">) </w:t>
      </w:r>
      <w:r w:rsidRPr="006E4BB9">
        <w:t xml:space="preserve">преношење </w:t>
      </w:r>
      <w:r w:rsidR="00CA510A" w:rsidRPr="006E4BB9">
        <w:rPr>
          <w:i/>
        </w:rPr>
        <w:t>LED</w:t>
      </w:r>
      <w:r w:rsidR="00904ABF" w:rsidRPr="006E4BB9">
        <w:t xml:space="preserve"> </w:t>
      </w:r>
      <w:r w:rsidRPr="006E4BB9">
        <w:t>у националне правне прописе</w:t>
      </w:r>
      <w:r w:rsidR="00904ABF" w:rsidRPr="006E4BB9">
        <w:t xml:space="preserve">. </w:t>
      </w:r>
      <w:r w:rsidRPr="006E4BB9">
        <w:t>Те су одредбе</w:t>
      </w:r>
      <w:r w:rsidR="00AB481B">
        <w:rPr>
          <w:lang w:val="sr-Cyrl-RS"/>
        </w:rPr>
        <w:t>, уопште узев,</w:t>
      </w:r>
      <w:r w:rsidRPr="006E4BB9">
        <w:t xml:space="preserve">у складу са </w:t>
      </w:r>
      <w:r w:rsidR="00CA510A" w:rsidRPr="006E4BB9">
        <w:rPr>
          <w:i/>
        </w:rPr>
        <w:t>LED</w:t>
      </w:r>
      <w:r w:rsidR="00904ABF" w:rsidRPr="006E4BB9">
        <w:t xml:space="preserve">, </w:t>
      </w:r>
      <w:r w:rsidRPr="006E4BB9">
        <w:t xml:space="preserve">али се већином тих одредби нажалост само понављају одредбе </w:t>
      </w:r>
      <w:r w:rsidR="00CA510A" w:rsidRPr="006E4BB9">
        <w:rPr>
          <w:i/>
        </w:rPr>
        <w:t>LED</w:t>
      </w:r>
      <w:r w:rsidR="00904ABF" w:rsidRPr="006E4BB9">
        <w:t xml:space="preserve">, </w:t>
      </w:r>
      <w:r w:rsidRPr="006E4BB9">
        <w:t xml:space="preserve">од којих су неке због тога веома декларативне, уопштене, њима се не пружа никаква додатна вредност и оне не доприносе правној јасноћи и не нуде </w:t>
      </w:r>
      <w:r w:rsidR="00A226C9" w:rsidRPr="006E4BB9">
        <w:t>корисне информације којима</w:t>
      </w:r>
      <w:r w:rsidRPr="006E4BB9">
        <w:t xml:space="preserve"> би</w:t>
      </w:r>
      <w:r w:rsidR="00A226C9" w:rsidRPr="006E4BB9">
        <w:t xml:space="preserve"> се</w:t>
      </w:r>
      <w:r w:rsidRPr="006E4BB9">
        <w:t xml:space="preserve"> олакшал</w:t>
      </w:r>
      <w:r w:rsidR="00A226C9" w:rsidRPr="006E4BB9">
        <w:t>о</w:t>
      </w:r>
      <w:r w:rsidRPr="006E4BB9">
        <w:t xml:space="preserve"> преношење </w:t>
      </w:r>
      <w:r w:rsidR="00CA510A" w:rsidRPr="006E4BB9">
        <w:rPr>
          <w:i/>
        </w:rPr>
        <w:t>LED</w:t>
      </w:r>
      <w:r w:rsidR="00904ABF" w:rsidRPr="006E4BB9">
        <w:t xml:space="preserve"> </w:t>
      </w:r>
      <w:r w:rsidR="00A226C9" w:rsidRPr="006E4BB9">
        <w:t xml:space="preserve">и примењивост њених одредби. Управо супротно, њима се оставља широк простор за различита тумачења и нуди велико дискреционо право у погледу њене примене. </w:t>
      </w:r>
      <w:r w:rsidR="0076521C">
        <w:rPr>
          <w:lang w:val="sr-Cyrl-RS"/>
        </w:rPr>
        <w:t>Сама</w:t>
      </w:r>
      <w:r w:rsidR="0076521C" w:rsidRPr="006E4BB9">
        <w:t xml:space="preserve"> </w:t>
      </w:r>
      <w:r w:rsidR="00A226C9" w:rsidRPr="006E4BB9">
        <w:t xml:space="preserve">дефиниција „надлежног органа“ је добар пример за то – у њој се мање-више следи дефиниција утврђена у </w:t>
      </w:r>
      <w:r w:rsidR="00CA510A" w:rsidRPr="006E4BB9">
        <w:rPr>
          <w:i/>
        </w:rPr>
        <w:t>LED</w:t>
      </w:r>
      <w:r w:rsidR="00904ABF" w:rsidRPr="006E4BB9">
        <w:t xml:space="preserve">. </w:t>
      </w:r>
      <w:r w:rsidR="00A226C9" w:rsidRPr="006E4BB9">
        <w:t>Њоме се не утврђују додатно и прецизније надлежни органи у Србији. То представља ризик да ће са ј</w:t>
      </w:r>
      <w:r w:rsidR="00223B1A">
        <w:t>едне стране органима, телима и субјекти</w:t>
      </w:r>
      <w:r w:rsidR="00A226C9" w:rsidRPr="006E4BB9">
        <w:t>ма, као и појединцима (лицима на која се подаци односе) у одређеним случајевима бити нејасна природа обраде података и правила која се примењују</w:t>
      </w:r>
      <w:r w:rsidR="00904ABF" w:rsidRPr="006E4BB9">
        <w:t xml:space="preserve">. </w:t>
      </w:r>
    </w:p>
    <w:p w14:paraId="45392F37" w14:textId="77777777" w:rsidR="00904ABF" w:rsidRPr="006E4BB9" w:rsidRDefault="00A226C9" w:rsidP="00904ABF">
      <w:pPr>
        <w:jc w:val="both"/>
      </w:pPr>
      <w:r w:rsidRPr="006E4BB9">
        <w:t xml:space="preserve">За одређене обавезе „надлежних органа“ недостају санкције, што такође указује на неопходност систематичнијег приступа уређивању области примене обраде података, прецизног утврђивања органа за које важи овај посебан режим заштите, као и измене других закона. </w:t>
      </w:r>
      <w:r w:rsidR="00904ABF" w:rsidRPr="006E4BB9">
        <w:t xml:space="preserve"> </w:t>
      </w:r>
    </w:p>
    <w:p w14:paraId="3DD53B87" w14:textId="77777777" w:rsidR="00904ABF" w:rsidRPr="006E4BB9" w:rsidRDefault="00CA510A" w:rsidP="00904ABF">
      <w:pPr>
        <w:jc w:val="both"/>
        <w:rPr>
          <w:b/>
        </w:rPr>
      </w:pPr>
      <w:r w:rsidRPr="006E4BB9">
        <w:rPr>
          <w:b/>
          <w:i/>
        </w:rPr>
        <w:t>LED</w:t>
      </w:r>
      <w:r w:rsidR="00904ABF" w:rsidRPr="006E4BB9">
        <w:rPr>
          <w:b/>
        </w:rPr>
        <w:t xml:space="preserve"> </w:t>
      </w:r>
      <w:r w:rsidR="0074647F" w:rsidRPr="006E4BB9">
        <w:rPr>
          <w:b/>
        </w:rPr>
        <w:t>и</w:t>
      </w:r>
      <w:r w:rsidR="00904ABF" w:rsidRPr="006E4BB9">
        <w:rPr>
          <w:b/>
        </w:rPr>
        <w:t xml:space="preserve"> </w:t>
      </w:r>
      <w:r w:rsidRPr="006E4BB9">
        <w:rPr>
          <w:b/>
          <w:i/>
        </w:rPr>
        <w:t>GDPR</w:t>
      </w:r>
    </w:p>
    <w:p w14:paraId="38598F1F" w14:textId="172E9EE2" w:rsidR="00904ABF" w:rsidRPr="006E4BB9" w:rsidRDefault="00582820" w:rsidP="00904ABF">
      <w:pPr>
        <w:jc w:val="both"/>
      </w:pPr>
      <w:r w:rsidRPr="006E4BB9">
        <w:t>У складу са праксом Европског суда за људска права и Европског суда правде, ограничења основних права и слобода морају бити – по општем правилу</w:t>
      </w:r>
      <w:r w:rsidR="00904ABF" w:rsidRPr="006E4BB9">
        <w:t xml:space="preserve"> </w:t>
      </w:r>
      <w:r w:rsidRPr="006E4BB9">
        <w:t>–</w:t>
      </w:r>
      <w:r w:rsidR="00904ABF" w:rsidRPr="006E4BB9">
        <w:t xml:space="preserve"> </w:t>
      </w:r>
      <w:r w:rsidRPr="006E4BB9">
        <w:t xml:space="preserve">прописана законом. Ограничења права на заштиту података о личности је прихватљиво </w:t>
      </w:r>
      <w:r w:rsidRPr="006E4BB9">
        <w:rPr>
          <w:i/>
        </w:rPr>
        <w:t>искључиво у мери у којој је то стриктно неопходно</w:t>
      </w:r>
      <w:r w:rsidRPr="006E4BB9">
        <w:t xml:space="preserve"> како би се оствари</w:t>
      </w:r>
      <w:r w:rsidR="0076521C">
        <w:rPr>
          <w:lang w:val="sr-Cyrl-RS"/>
        </w:rPr>
        <w:t>о неки легитиман циљ</w:t>
      </w:r>
      <w:r w:rsidRPr="006E4BB9">
        <w:t>. Законом мора да одражава правну јасноћу и извесност</w:t>
      </w:r>
      <w:r w:rsidR="00904ABF" w:rsidRPr="006E4BB9">
        <w:t xml:space="preserve">, </w:t>
      </w:r>
      <w:r w:rsidRPr="006E4BB9">
        <w:t xml:space="preserve">тако да појединци могу да предвиде са довољном извесношћу </w:t>
      </w:r>
      <w:r w:rsidR="00950E9E" w:rsidRPr="006E4BB9">
        <w:t>када ће нека одредба закона ограничити њихова права</w:t>
      </w:r>
      <w:r w:rsidR="00904ABF" w:rsidRPr="006E4BB9">
        <w:t>.</w:t>
      </w:r>
      <w:r w:rsidR="00950E9E" w:rsidRPr="006E4BB9">
        <w:t xml:space="preserve"> Права лица на која се подаци односе </w:t>
      </w:r>
      <w:r w:rsidR="00904ABF" w:rsidRPr="006E4BB9">
        <w:t>(</w:t>
      </w:r>
      <w:r w:rsidR="00950E9E" w:rsidRPr="006E4BB9">
        <w:t>прав</w:t>
      </w:r>
      <w:r w:rsidR="0076521C">
        <w:rPr>
          <w:lang w:val="sr-Cyrl-RS"/>
        </w:rPr>
        <w:t>о на приступ</w:t>
      </w:r>
      <w:r w:rsidR="00950E9E" w:rsidRPr="006E4BB9">
        <w:t xml:space="preserve">, </w:t>
      </w:r>
      <w:r w:rsidR="0076521C">
        <w:rPr>
          <w:lang w:val="sr-Cyrl-RS"/>
        </w:rPr>
        <w:t>исправку</w:t>
      </w:r>
      <w:r w:rsidR="00950E9E" w:rsidRPr="006E4BB9">
        <w:t xml:space="preserve">, </w:t>
      </w:r>
      <w:r w:rsidR="0076521C">
        <w:rPr>
          <w:lang w:val="sr-Cyrl-RS"/>
        </w:rPr>
        <w:t>ограничење обраде</w:t>
      </w:r>
      <w:r w:rsidR="00950E9E" w:rsidRPr="006E4BB9">
        <w:t>, право на приговор</w:t>
      </w:r>
      <w:r w:rsidR="00904ABF" w:rsidRPr="006E4BB9">
        <w:t>,</w:t>
      </w:r>
      <w:r w:rsidR="00950E9E" w:rsidRPr="006E4BB9">
        <w:t xml:space="preserve"> </w:t>
      </w:r>
      <w:r w:rsidR="0076521C">
        <w:rPr>
          <w:lang w:val="sr-Cyrl-RS"/>
        </w:rPr>
        <w:t xml:space="preserve">на </w:t>
      </w:r>
      <w:r w:rsidR="00950E9E" w:rsidRPr="006E4BB9">
        <w:t>преносивост података, итд</w:t>
      </w:r>
      <w:r w:rsidR="00904ABF" w:rsidRPr="006E4BB9">
        <w:t xml:space="preserve">. </w:t>
      </w:r>
      <w:r w:rsidR="00950E9E" w:rsidRPr="006E4BB9">
        <w:t xml:space="preserve">у складу са </w:t>
      </w:r>
      <w:r w:rsidR="00CA510A" w:rsidRPr="006E4BB9">
        <w:rPr>
          <w:i/>
        </w:rPr>
        <w:t>GDPR</w:t>
      </w:r>
      <w:r w:rsidR="00904ABF" w:rsidRPr="006E4BB9">
        <w:t xml:space="preserve"> </w:t>
      </w:r>
      <w:r w:rsidR="00950E9E" w:rsidRPr="006E4BB9">
        <w:t>и</w:t>
      </w:r>
      <w:r w:rsidR="00904ABF" w:rsidRPr="006E4BB9">
        <w:t xml:space="preserve"> </w:t>
      </w:r>
      <w:r w:rsidR="00CA510A" w:rsidRPr="006E4BB9">
        <w:t>LED</w:t>
      </w:r>
      <w:r w:rsidR="00904ABF" w:rsidRPr="006E4BB9">
        <w:t xml:space="preserve">) </w:t>
      </w:r>
      <w:r w:rsidR="00950E9E" w:rsidRPr="006E4BB9">
        <w:t>чине део њиховог права на заштиту података о личности</w:t>
      </w:r>
      <w:r w:rsidR="00904ABF" w:rsidRPr="006E4BB9">
        <w:t xml:space="preserve">. </w:t>
      </w:r>
      <w:r w:rsidR="00950E9E" w:rsidRPr="006E4BB9">
        <w:t xml:space="preserve">Ограничења тих изведених права морају да </w:t>
      </w:r>
      <w:r w:rsidR="0076521C">
        <w:rPr>
          <w:lang w:val="sr-Cyrl-RS"/>
        </w:rPr>
        <w:t>испуњавају</w:t>
      </w:r>
      <w:r w:rsidR="0076521C" w:rsidRPr="006E4BB9">
        <w:t xml:space="preserve"> </w:t>
      </w:r>
      <w:r w:rsidR="00950E9E" w:rsidRPr="006E4BB9">
        <w:t xml:space="preserve">исте строге услове како би њихово ограничавање било прихватљиво. У </w:t>
      </w:r>
      <w:r w:rsidR="00CA510A" w:rsidRPr="006E4BB9">
        <w:rPr>
          <w:i/>
        </w:rPr>
        <w:t>LED</w:t>
      </w:r>
      <w:r w:rsidR="00904ABF" w:rsidRPr="006E4BB9">
        <w:t xml:space="preserve"> </w:t>
      </w:r>
      <w:r w:rsidR="00950E9E" w:rsidRPr="006E4BB9">
        <w:t xml:space="preserve">се нарочито законодавцима даје додатно оптерећење да јасно и прецизно опишу ограничења права појединаца. У одредбама као што су чланови </w:t>
      </w:r>
      <w:r w:rsidR="00904ABF" w:rsidRPr="006E4BB9">
        <w:t>23</w:t>
      </w:r>
      <w:r w:rsidR="00950E9E" w:rsidRPr="006E4BB9">
        <w:t>.</w:t>
      </w:r>
      <w:r w:rsidR="00904ABF" w:rsidRPr="006E4BB9">
        <w:t xml:space="preserve"> </w:t>
      </w:r>
      <w:r w:rsidR="00CA510A" w:rsidRPr="006E4BB9">
        <w:rPr>
          <w:i/>
        </w:rPr>
        <w:t>GDPR</w:t>
      </w:r>
      <w:r w:rsidR="00950E9E" w:rsidRPr="006E4BB9">
        <w:t xml:space="preserve"> (ограничења</w:t>
      </w:r>
      <w:r w:rsidR="00904ABF" w:rsidRPr="006E4BB9">
        <w:t xml:space="preserve">) </w:t>
      </w:r>
      <w:r w:rsidR="00950E9E" w:rsidRPr="006E4BB9">
        <w:t xml:space="preserve">или </w:t>
      </w:r>
      <w:r w:rsidR="00904ABF" w:rsidRPr="006E4BB9">
        <w:t xml:space="preserve">15.1 </w:t>
      </w:r>
      <w:r w:rsidR="00950E9E" w:rsidRPr="006E4BB9">
        <w:t>и</w:t>
      </w:r>
      <w:r w:rsidR="00904ABF" w:rsidRPr="006E4BB9">
        <w:t xml:space="preserve"> 16.4 </w:t>
      </w:r>
      <w:r w:rsidR="00CA510A" w:rsidRPr="006E4BB9">
        <w:rPr>
          <w:i/>
        </w:rPr>
        <w:t>LED</w:t>
      </w:r>
      <w:r w:rsidR="00904ABF" w:rsidRPr="006E4BB9">
        <w:t xml:space="preserve"> (</w:t>
      </w:r>
      <w:r w:rsidR="00950E9E" w:rsidRPr="006E4BB9">
        <w:t>ограничавање права приступа</w:t>
      </w:r>
      <w:r w:rsidR="00904ABF" w:rsidRPr="006E4BB9">
        <w:t>),</w:t>
      </w:r>
      <w:r w:rsidR="00950E9E" w:rsidRPr="006E4BB9">
        <w:t xml:space="preserve"> ти прописи делују као смернице за националне законодавце да усвоје прецизна и јасна ограничења права појединаца. То захтева посебне законодавне мере у одређеним областима у којима права лица на која се подаци односе неопходно морају бити ограничена</w:t>
      </w:r>
      <w:r w:rsidR="00904ABF" w:rsidRPr="006E4BB9">
        <w:t xml:space="preserve">. </w:t>
      </w:r>
      <w:r w:rsidR="00950E9E" w:rsidRPr="006E4BB9">
        <w:t xml:space="preserve">Општим законом о </w:t>
      </w:r>
      <w:r w:rsidR="00BB45DB" w:rsidRPr="006E4BB9">
        <w:t xml:space="preserve">заштити података могу се усвојити сличне или исте одредбе као што су наведени захтеви у </w:t>
      </w:r>
      <w:r w:rsidR="00CA510A" w:rsidRPr="006E4BB9">
        <w:rPr>
          <w:i/>
        </w:rPr>
        <w:t>GDPR</w:t>
      </w:r>
      <w:r w:rsidR="00904ABF" w:rsidRPr="006E4BB9">
        <w:t xml:space="preserve"> </w:t>
      </w:r>
      <w:r w:rsidR="00BB45DB" w:rsidRPr="006E4BB9">
        <w:t>и</w:t>
      </w:r>
      <w:r w:rsidR="00904ABF" w:rsidRPr="006E4BB9">
        <w:t xml:space="preserve"> </w:t>
      </w:r>
      <w:r w:rsidR="00CA510A" w:rsidRPr="006E4BB9">
        <w:rPr>
          <w:i/>
        </w:rPr>
        <w:t>LED</w:t>
      </w:r>
      <w:r w:rsidR="00904ABF" w:rsidRPr="006E4BB9">
        <w:t xml:space="preserve">, </w:t>
      </w:r>
      <w:r w:rsidR="00BB45DB" w:rsidRPr="006E4BB9">
        <w:t>али они не смеју бити правна основа за ограничења по себи</w:t>
      </w:r>
      <w:r w:rsidR="00904ABF" w:rsidRPr="006E4BB9">
        <w:t xml:space="preserve">. </w:t>
      </w:r>
      <w:r w:rsidR="00BB45DB" w:rsidRPr="006E4BB9">
        <w:t xml:space="preserve">Оне морају указивати на захтев да се усвоје прецизни правни прописи којима ће се поштовати услови наведени у општем закону о заштити података о личности. Другим речима, законодавцу се мора оставити да утврди када је ограничавање права лица на које се подаци односе прихватљиво, уместо да се такво овлашћење даје самим </w:t>
      </w:r>
      <w:r w:rsidR="003F57D1">
        <w:t>руковаоцима</w:t>
      </w:r>
      <w:r w:rsidR="00904ABF" w:rsidRPr="006E4BB9">
        <w:t xml:space="preserve"> (</w:t>
      </w:r>
      <w:r w:rsidR="00BB45DB" w:rsidRPr="006E4BB9">
        <w:t xml:space="preserve">као што је то случај у одредбама члана </w:t>
      </w:r>
      <w:r w:rsidR="00904ABF" w:rsidRPr="006E4BB9">
        <w:t>28</w:t>
      </w:r>
      <w:r w:rsidR="00BB45DB" w:rsidRPr="006E4BB9">
        <w:t>. став</w:t>
      </w:r>
      <w:r w:rsidR="00904ABF" w:rsidRPr="006E4BB9">
        <w:t xml:space="preserve"> I, </w:t>
      </w:r>
      <w:r w:rsidR="00BB45DB" w:rsidRPr="006E4BB9">
        <w:t>члан</w:t>
      </w:r>
      <w:r w:rsidR="00904ABF" w:rsidRPr="006E4BB9">
        <w:t xml:space="preserve"> 34</w:t>
      </w:r>
      <w:r w:rsidR="00BB45DB" w:rsidRPr="006E4BB9">
        <w:t>. став</w:t>
      </w:r>
      <w:r w:rsidR="00904ABF" w:rsidRPr="006E4BB9">
        <w:t xml:space="preserve"> II,</w:t>
      </w:r>
      <w:r w:rsidR="00BB45DB" w:rsidRPr="006E4BB9">
        <w:t xml:space="preserve"> члан 40. Закона</w:t>
      </w:r>
      <w:r w:rsidR="00904ABF" w:rsidRPr="006E4BB9">
        <w:t xml:space="preserve">). </w:t>
      </w:r>
      <w:r w:rsidR="00BB45DB" w:rsidRPr="006E4BB9">
        <w:t xml:space="preserve">Таквим одредбама се отвара могућност за арбитрарно ограничавање права лица на која се </w:t>
      </w:r>
      <w:r w:rsidR="00BB45DB" w:rsidRPr="006E4BB9">
        <w:lastRenderedPageBreak/>
        <w:t>подаци односе, а то није у складу са европским стандардима о заштити података о личности као основног људског права</w:t>
      </w:r>
      <w:r w:rsidR="00904ABF" w:rsidRPr="006E4BB9">
        <w:t>.</w:t>
      </w:r>
    </w:p>
    <w:p w14:paraId="5ED4735F" w14:textId="77777777" w:rsidR="00904ABF" w:rsidRPr="006E4BB9" w:rsidRDefault="00904ABF" w:rsidP="00904ABF">
      <w:pPr>
        <w:jc w:val="both"/>
      </w:pPr>
    </w:p>
    <w:p w14:paraId="175AFEEC" w14:textId="77777777" w:rsidR="00904ABF" w:rsidRPr="006E4BB9" w:rsidRDefault="00BB45DB" w:rsidP="00904ABF">
      <w:pPr>
        <w:jc w:val="both"/>
        <w:rPr>
          <w:rFonts w:ascii="Arial" w:hAnsi="Arial"/>
          <w:b/>
          <w:bCs/>
          <w:sz w:val="24"/>
          <w:szCs w:val="20"/>
        </w:rPr>
      </w:pPr>
      <w:r w:rsidRPr="006E4BB9">
        <w:rPr>
          <w:rFonts w:ascii="Arial" w:hAnsi="Arial"/>
          <w:b/>
          <w:bCs/>
          <w:sz w:val="24"/>
          <w:szCs w:val="20"/>
        </w:rPr>
        <w:t>МИШЉЕЊЕ О ПОЈЕДИНАЧНИМ ЧЛАНОВИМА ЗАКОНА</w:t>
      </w:r>
      <w:r w:rsidR="00904ABF" w:rsidRPr="006E4BB9">
        <w:rPr>
          <w:rFonts w:ascii="Arial" w:hAnsi="Arial"/>
          <w:b/>
          <w:bCs/>
          <w:sz w:val="24"/>
          <w:szCs w:val="20"/>
        </w:rPr>
        <w:t>:</w:t>
      </w:r>
    </w:p>
    <w:p w14:paraId="18F25D6F" w14:textId="77777777" w:rsidR="00904ABF" w:rsidRPr="006E4BB9" w:rsidRDefault="00904ABF" w:rsidP="00904ABF">
      <w:pPr>
        <w:spacing w:before="240" w:after="200" w:line="240" w:lineRule="auto"/>
        <w:jc w:val="both"/>
        <w:rPr>
          <w:b/>
          <w:bCs/>
        </w:rPr>
      </w:pPr>
      <w:r w:rsidRPr="006E4BB9">
        <w:rPr>
          <w:b/>
          <w:bCs/>
        </w:rPr>
        <w:t xml:space="preserve">I. </w:t>
      </w:r>
      <w:r w:rsidR="00BB45DB" w:rsidRPr="006E4BB9">
        <w:rPr>
          <w:b/>
          <w:bCs/>
        </w:rPr>
        <w:t>ОСНОВНЕ ОДРЕДБЕ</w:t>
      </w:r>
    </w:p>
    <w:p w14:paraId="24F7198F" w14:textId="77777777" w:rsidR="00904ABF" w:rsidRPr="006E4BB9" w:rsidRDefault="00BB45DB" w:rsidP="00904ABF">
      <w:pPr>
        <w:spacing w:before="160"/>
        <w:jc w:val="both"/>
        <w:rPr>
          <w:b/>
          <w:bCs/>
        </w:rPr>
      </w:pPr>
      <w:r w:rsidRPr="006E4BB9">
        <w:rPr>
          <w:b/>
          <w:bCs/>
        </w:rPr>
        <w:t xml:space="preserve">Члан </w:t>
      </w:r>
      <w:r w:rsidR="00904ABF" w:rsidRPr="006E4BB9">
        <w:rPr>
          <w:b/>
          <w:bCs/>
        </w:rPr>
        <w:t>1:</w:t>
      </w:r>
    </w:p>
    <w:p w14:paraId="369C3933" w14:textId="77777777" w:rsidR="00904ABF" w:rsidRPr="006E4BB9" w:rsidRDefault="00FC625D" w:rsidP="00904ABF">
      <w:pPr>
        <w:jc w:val="both"/>
      </w:pPr>
      <w:r w:rsidRPr="006E4BB9">
        <w:t xml:space="preserve">У члану </w:t>
      </w:r>
      <w:r w:rsidR="00904ABF" w:rsidRPr="006E4BB9">
        <w:t>1</w:t>
      </w:r>
      <w:r w:rsidRPr="006E4BB9">
        <w:t>. став</w:t>
      </w:r>
      <w:r w:rsidR="00904ABF" w:rsidRPr="006E4BB9">
        <w:t xml:space="preserve"> 2</w:t>
      </w:r>
      <w:r w:rsidRPr="006E4BB9">
        <w:t>.</w:t>
      </w:r>
      <w:r w:rsidR="00904ABF" w:rsidRPr="006E4BB9">
        <w:t xml:space="preserve"> </w:t>
      </w:r>
      <w:r w:rsidRPr="006E4BB9">
        <w:t>се</w:t>
      </w:r>
      <w:r w:rsidR="00904ABF" w:rsidRPr="006E4BB9">
        <w:t xml:space="preserve"> </w:t>
      </w:r>
      <w:r w:rsidRPr="006E4BB9">
        <w:t xml:space="preserve">користи израз „нарочито“. Ми предлажемо да се овај израз замени изразом „такође“, пошто је и предмет </w:t>
      </w:r>
      <w:r w:rsidR="00CA510A" w:rsidRPr="006E4BB9">
        <w:rPr>
          <w:i/>
        </w:rPr>
        <w:t>LED</w:t>
      </w:r>
      <w:r w:rsidRPr="006E4BB9">
        <w:t xml:space="preserve"> такође део односног Закона</w:t>
      </w:r>
      <w:r w:rsidR="00DB1025" w:rsidRPr="006E4BB9">
        <w:t>.</w:t>
      </w:r>
    </w:p>
    <w:p w14:paraId="224B207D" w14:textId="77777777" w:rsidR="00904ABF" w:rsidRPr="006E4BB9" w:rsidRDefault="00FC625D" w:rsidP="00904ABF">
      <w:pPr>
        <w:spacing w:before="160"/>
        <w:jc w:val="both"/>
        <w:rPr>
          <w:b/>
          <w:bCs/>
        </w:rPr>
      </w:pPr>
      <w:r w:rsidRPr="006E4BB9">
        <w:rPr>
          <w:b/>
          <w:bCs/>
        </w:rPr>
        <w:t>Члан</w:t>
      </w:r>
      <w:r w:rsidR="00904ABF" w:rsidRPr="006E4BB9">
        <w:rPr>
          <w:b/>
          <w:bCs/>
        </w:rPr>
        <w:t xml:space="preserve"> 3:</w:t>
      </w:r>
    </w:p>
    <w:p w14:paraId="372A0F69" w14:textId="65566D8C" w:rsidR="00904ABF" w:rsidRPr="006E4BB9" w:rsidRDefault="00FC625D" w:rsidP="00904ABF">
      <w:pPr>
        <w:jc w:val="both"/>
      </w:pPr>
      <w:r w:rsidRPr="006E4BB9">
        <w:t xml:space="preserve">У члану </w:t>
      </w:r>
      <w:r w:rsidR="00904ABF" w:rsidRPr="006E4BB9">
        <w:t>3</w:t>
      </w:r>
      <w:r w:rsidRPr="006E4BB9">
        <w:t>. Закона се не помиње обрада кој</w:t>
      </w:r>
      <w:r w:rsidR="00F84D76" w:rsidRPr="006E4BB9">
        <w:t>ом</w:t>
      </w:r>
      <w:r w:rsidRPr="006E4BB9">
        <w:t xml:space="preserve"> би се </w:t>
      </w:r>
      <w:r w:rsidR="00F84D76" w:rsidRPr="006E4BB9">
        <w:t xml:space="preserve">упућивало </w:t>
      </w:r>
      <w:r w:rsidRPr="006E4BB9">
        <w:t>на питање об</w:t>
      </w:r>
      <w:r w:rsidR="00F84D76" w:rsidRPr="006E4BB9">
        <w:t>има</w:t>
      </w:r>
      <w:r w:rsidRPr="006E4BB9">
        <w:t xml:space="preserve"> њене</w:t>
      </w:r>
      <w:r w:rsidR="00F84D76" w:rsidRPr="006E4BB9">
        <w:t xml:space="preserve"> примене у погледу члана </w:t>
      </w:r>
      <w:r w:rsidR="00904ABF" w:rsidRPr="006E4BB9">
        <w:t>1</w:t>
      </w:r>
      <w:r w:rsidR="00F84D76" w:rsidRPr="006E4BB9">
        <w:t>.</w:t>
      </w:r>
      <w:r w:rsidR="00904ABF" w:rsidRPr="006E4BB9">
        <w:t xml:space="preserve"> </w:t>
      </w:r>
      <w:r w:rsidR="00F84D76" w:rsidRPr="006E4BB9">
        <w:t>став</w:t>
      </w:r>
      <w:r w:rsidR="00904ABF" w:rsidRPr="006E4BB9">
        <w:t xml:space="preserve"> 2. </w:t>
      </w:r>
      <w:r w:rsidR="00F84D76" w:rsidRPr="006E4BB9">
        <w:t xml:space="preserve">Наша је сугестија да у Закону треба јасно и прецизно одредити да свака обрада података о личности од стране надлежних органа која се спроводи </w:t>
      </w:r>
      <w:r w:rsidR="00F84D76" w:rsidRPr="006E4BB9">
        <w:rPr>
          <w:rFonts w:cs="Calibri"/>
          <w:u w:val="single"/>
        </w:rPr>
        <w:t>за сврхе које НИСУ посебне сврхе</w:t>
      </w:r>
      <w:r w:rsidR="00904ABF" w:rsidRPr="006E4BB9">
        <w:rPr>
          <w:rFonts w:cs="Calibri"/>
        </w:rPr>
        <w:t xml:space="preserve"> (</w:t>
      </w:r>
      <w:r w:rsidR="00F84D76" w:rsidRPr="006E4BB9">
        <w:rPr>
          <w:rFonts w:cs="Calibri"/>
        </w:rPr>
        <w:t>спречавање, истрага</w:t>
      </w:r>
      <w:r w:rsidR="009B292D">
        <w:rPr>
          <w:rFonts w:cs="Calibri"/>
        </w:rPr>
        <w:t xml:space="preserve"> и откривање кривичних дела, </w:t>
      </w:r>
      <w:r w:rsidR="00F84D76" w:rsidRPr="006E4BB9">
        <w:rPr>
          <w:rFonts w:cs="Calibri"/>
        </w:rPr>
        <w:t xml:space="preserve">гоњење </w:t>
      </w:r>
      <w:r w:rsidR="009B292D">
        <w:rPr>
          <w:rFonts w:cs="Calibri"/>
        </w:rPr>
        <w:t xml:space="preserve">учинилаца кривичних дела </w:t>
      </w:r>
      <w:r w:rsidR="00F84D76" w:rsidRPr="006E4BB9">
        <w:rPr>
          <w:rFonts w:cs="Calibri"/>
        </w:rPr>
        <w:t>или извршење криви</w:t>
      </w:r>
      <w:r w:rsidR="004B4083" w:rsidRPr="006E4BB9">
        <w:rPr>
          <w:rFonts w:cs="Calibri"/>
        </w:rPr>
        <w:t>чних санкција, укључујући заштиту од и спречавање претњи по јавну и националну безбедност</w:t>
      </w:r>
      <w:r w:rsidR="00904ABF" w:rsidRPr="006E4BB9">
        <w:rPr>
          <w:rFonts w:cs="Calibri"/>
        </w:rPr>
        <w:t xml:space="preserve">), </w:t>
      </w:r>
      <w:r w:rsidR="004B4083" w:rsidRPr="006E4BB9">
        <w:rPr>
          <w:rFonts w:cs="Calibri"/>
          <w:u w:val="single"/>
        </w:rPr>
        <w:t>потпада под опште одредбе овог Закона</w:t>
      </w:r>
      <w:r w:rsidR="00904ABF" w:rsidRPr="006E4BB9">
        <w:rPr>
          <w:rFonts w:cs="Calibri"/>
          <w:u w:val="single"/>
        </w:rPr>
        <w:t xml:space="preserve"> – </w:t>
      </w:r>
      <w:r w:rsidR="004B4083" w:rsidRPr="006E4BB9">
        <w:rPr>
          <w:rFonts w:cs="Calibri"/>
          <w:u w:val="single"/>
        </w:rPr>
        <w:t xml:space="preserve">одредбе којима се не уређује обрада </w:t>
      </w:r>
      <w:r w:rsidR="00200096">
        <w:rPr>
          <w:rFonts w:cs="Calibri"/>
          <w:u w:val="single"/>
        </w:rPr>
        <w:t>која се врши</w:t>
      </w:r>
      <w:r w:rsidR="004B4083" w:rsidRPr="006E4BB9">
        <w:rPr>
          <w:rFonts w:cs="Calibri"/>
          <w:u w:val="single"/>
        </w:rPr>
        <w:t xml:space="preserve"> у посебне сврхе</w:t>
      </w:r>
      <w:r w:rsidR="00904ABF" w:rsidRPr="006E4BB9">
        <w:rPr>
          <w:rFonts w:cs="Calibri"/>
        </w:rPr>
        <w:t xml:space="preserve"> (</w:t>
      </w:r>
      <w:r w:rsidR="00996C75">
        <w:rPr>
          <w:rFonts w:cs="Calibri"/>
        </w:rPr>
        <w:t>нпр</w:t>
      </w:r>
      <w:r w:rsidR="00904ABF" w:rsidRPr="006E4BB9">
        <w:rPr>
          <w:rFonts w:cs="Calibri"/>
        </w:rPr>
        <w:t xml:space="preserve">. </w:t>
      </w:r>
      <w:r w:rsidR="004B4083" w:rsidRPr="006E4BB9">
        <w:rPr>
          <w:rFonts w:cs="Calibri"/>
        </w:rPr>
        <w:t>обрада</w:t>
      </w:r>
      <w:r w:rsidR="00904ABF" w:rsidRPr="006E4BB9">
        <w:rPr>
          <w:rFonts w:cs="Calibri"/>
        </w:rPr>
        <w:t xml:space="preserve"> </w:t>
      </w:r>
      <w:r w:rsidR="004B4083" w:rsidRPr="006E4BB9">
        <w:rPr>
          <w:rFonts w:cs="Calibri"/>
        </w:rPr>
        <w:t>од стране полиције у вези са запошљавањем потпада под област примене општих одредби</w:t>
      </w:r>
      <w:r w:rsidR="00904ABF" w:rsidRPr="006E4BB9">
        <w:rPr>
          <w:rFonts w:cs="Calibri"/>
        </w:rPr>
        <w:t>).</w:t>
      </w:r>
      <w:r w:rsidR="00904ABF" w:rsidRPr="006E4BB9">
        <w:rPr>
          <w:szCs w:val="24"/>
        </w:rPr>
        <w:t xml:space="preserve"> </w:t>
      </w:r>
      <w:r w:rsidR="004B4083" w:rsidRPr="006E4BB9">
        <w:rPr>
          <w:szCs w:val="24"/>
        </w:rPr>
        <w:t>Таквим решењем би се, по нашем мишљењу, значајно допринело правној јасноћи и извесности Закона и правној сигурности лица на која се подаци односе</w:t>
      </w:r>
      <w:r w:rsidR="00904ABF" w:rsidRPr="006E4BB9">
        <w:rPr>
          <w:szCs w:val="24"/>
        </w:rPr>
        <w:t xml:space="preserve">. </w:t>
      </w:r>
      <w:r w:rsidR="004B4083" w:rsidRPr="006E4BB9">
        <w:rPr>
          <w:szCs w:val="24"/>
        </w:rPr>
        <w:t>Ако такво решење није пружено, лица на која се подаци односе би се могла наћи у нејасном положају у погледу поступка за реализацију њихових права према надлежним органима и могућим ограничењима која би се могла примењивати</w:t>
      </w:r>
      <w:r w:rsidR="00904ABF" w:rsidRPr="006E4BB9">
        <w:rPr>
          <w:szCs w:val="24"/>
        </w:rPr>
        <w:t xml:space="preserve">. </w:t>
      </w:r>
    </w:p>
    <w:p w14:paraId="639E0B3B" w14:textId="77777777" w:rsidR="00904ABF" w:rsidRPr="006E4BB9" w:rsidRDefault="004B4083" w:rsidP="00904ABF">
      <w:pPr>
        <w:spacing w:before="160"/>
        <w:jc w:val="both"/>
        <w:rPr>
          <w:b/>
          <w:bCs/>
        </w:rPr>
      </w:pPr>
      <w:r w:rsidRPr="006E4BB9">
        <w:rPr>
          <w:b/>
          <w:bCs/>
        </w:rPr>
        <w:t xml:space="preserve">Члан </w:t>
      </w:r>
      <w:r w:rsidR="00904ABF" w:rsidRPr="006E4BB9">
        <w:rPr>
          <w:b/>
          <w:bCs/>
        </w:rPr>
        <w:t>4:</w:t>
      </w:r>
    </w:p>
    <w:p w14:paraId="4121B957" w14:textId="33124617" w:rsidR="00904ABF" w:rsidRPr="006E4BB9" w:rsidRDefault="00EC7B90" w:rsidP="00904ABF">
      <w:pPr>
        <w:spacing w:before="160"/>
        <w:jc w:val="both"/>
        <w:rPr>
          <w:bCs/>
        </w:rPr>
      </w:pPr>
      <w:r w:rsidRPr="006E4BB9">
        <w:rPr>
          <w:bCs/>
        </w:rPr>
        <w:t>С</w:t>
      </w:r>
      <w:r w:rsidR="004B4083" w:rsidRPr="006E4BB9">
        <w:rPr>
          <w:bCs/>
        </w:rPr>
        <w:t xml:space="preserve">тавка </w:t>
      </w:r>
      <w:r w:rsidR="00904ABF" w:rsidRPr="006E4BB9">
        <w:rPr>
          <w:bCs/>
        </w:rPr>
        <w:t>21</w:t>
      </w:r>
      <w:r w:rsidR="004B4083" w:rsidRPr="006E4BB9">
        <w:rPr>
          <w:bCs/>
        </w:rPr>
        <w:t>.</w:t>
      </w:r>
      <w:r w:rsidR="00904ABF" w:rsidRPr="006E4BB9">
        <w:rPr>
          <w:bCs/>
        </w:rPr>
        <w:t xml:space="preserve"> </w:t>
      </w:r>
      <w:r w:rsidR="004B4083" w:rsidRPr="006E4BB9">
        <w:rPr>
          <w:bCs/>
        </w:rPr>
        <w:t>дефиниција</w:t>
      </w:r>
      <w:r w:rsidR="00904ABF" w:rsidRPr="006E4BB9">
        <w:rPr>
          <w:bCs/>
        </w:rPr>
        <w:t xml:space="preserve"> </w:t>
      </w:r>
      <w:r w:rsidR="004B4083" w:rsidRPr="006E4BB9">
        <w:rPr>
          <w:bCs/>
        </w:rPr>
        <w:t xml:space="preserve">о „обавезујућим </w:t>
      </w:r>
      <w:r w:rsidR="00A4375C">
        <w:rPr>
          <w:bCs/>
        </w:rPr>
        <w:t>пословним</w:t>
      </w:r>
      <w:r w:rsidR="00A4375C" w:rsidRPr="006E4BB9">
        <w:rPr>
          <w:bCs/>
        </w:rPr>
        <w:t xml:space="preserve"> </w:t>
      </w:r>
      <w:r w:rsidR="004B4083" w:rsidRPr="006E4BB9">
        <w:rPr>
          <w:bCs/>
        </w:rPr>
        <w:t>правилима“</w:t>
      </w:r>
      <w:r w:rsidR="00904ABF" w:rsidRPr="006E4BB9">
        <w:rPr>
          <w:bCs/>
        </w:rPr>
        <w:t xml:space="preserve"> (</w:t>
      </w:r>
      <w:r w:rsidR="004B4083" w:rsidRPr="006E4BB9">
        <w:rPr>
          <w:bCs/>
        </w:rPr>
        <w:t>у даљем тексту</w:t>
      </w:r>
      <w:r w:rsidR="00904ABF" w:rsidRPr="006E4BB9">
        <w:rPr>
          <w:bCs/>
        </w:rPr>
        <w:t xml:space="preserve">: </w:t>
      </w:r>
      <w:r w:rsidR="004B4083" w:rsidRPr="006E4BB9">
        <w:rPr>
          <w:bCs/>
        </w:rPr>
        <w:t>„О</w:t>
      </w:r>
      <w:r w:rsidR="006B2AEB">
        <w:rPr>
          <w:bCs/>
        </w:rPr>
        <w:t>П</w:t>
      </w:r>
      <w:r w:rsidR="004B4083" w:rsidRPr="006E4BB9">
        <w:rPr>
          <w:bCs/>
        </w:rPr>
        <w:t>П“</w:t>
      </w:r>
      <w:r w:rsidR="00904ABF" w:rsidRPr="006E4BB9">
        <w:rPr>
          <w:bCs/>
        </w:rPr>
        <w:t xml:space="preserve">) </w:t>
      </w:r>
      <w:r w:rsidRPr="006E4BB9">
        <w:rPr>
          <w:bCs/>
        </w:rPr>
        <w:t xml:space="preserve">се наизглед разликује од дефиниције у члану </w:t>
      </w:r>
      <w:r w:rsidR="00904ABF" w:rsidRPr="006E4BB9">
        <w:rPr>
          <w:bCs/>
        </w:rPr>
        <w:t>4</w:t>
      </w:r>
      <w:r w:rsidRPr="006E4BB9">
        <w:rPr>
          <w:bCs/>
        </w:rPr>
        <w:t>. став</w:t>
      </w:r>
      <w:r w:rsidR="00904ABF" w:rsidRPr="006E4BB9">
        <w:rPr>
          <w:bCs/>
        </w:rPr>
        <w:t xml:space="preserve"> (20) </w:t>
      </w:r>
      <w:r w:rsidR="00CA510A" w:rsidRPr="006E4BB9">
        <w:rPr>
          <w:bCs/>
          <w:i/>
        </w:rPr>
        <w:t>GDPR</w:t>
      </w:r>
      <w:r w:rsidR="00904ABF" w:rsidRPr="006E4BB9">
        <w:rPr>
          <w:bCs/>
        </w:rPr>
        <w:t>.</w:t>
      </w:r>
      <w:r w:rsidRPr="006E4BB9">
        <w:rPr>
          <w:bCs/>
        </w:rPr>
        <w:t xml:space="preserve"> Ставка </w:t>
      </w:r>
      <w:r w:rsidR="00904ABF" w:rsidRPr="006E4BB9">
        <w:rPr>
          <w:bCs/>
        </w:rPr>
        <w:t>21</w:t>
      </w:r>
      <w:r w:rsidRPr="006E4BB9">
        <w:rPr>
          <w:bCs/>
        </w:rPr>
        <w:t>. предвиђа</w:t>
      </w:r>
      <w:r w:rsidR="00904ABF" w:rsidRPr="006E4BB9">
        <w:rPr>
          <w:bCs/>
        </w:rPr>
        <w:t xml:space="preserve"> </w:t>
      </w:r>
      <w:r w:rsidRPr="006E4BB9">
        <w:rPr>
          <w:bCs/>
        </w:rPr>
        <w:t xml:space="preserve">да се ОКП односе на „интерне политике“, мада је то обично уговор потписан између у правном смислу засебних субјеката, тако да она нису инхерентно „интерна“ </w:t>
      </w:r>
      <w:r w:rsidR="00904ABF" w:rsidRPr="006E4BB9">
        <w:rPr>
          <w:bCs/>
        </w:rPr>
        <w:t>(</w:t>
      </w:r>
      <w:r w:rsidRPr="006E4BB9">
        <w:rPr>
          <w:bCs/>
        </w:rPr>
        <w:t xml:space="preserve">иако ти субјекти обично функционишу као субјекат који врши контролу и његови </w:t>
      </w:r>
      <w:r w:rsidR="004F3344" w:rsidRPr="006E4BB9">
        <w:rPr>
          <w:bCs/>
        </w:rPr>
        <w:t xml:space="preserve">контролисани </w:t>
      </w:r>
      <w:r w:rsidRPr="006E4BB9">
        <w:rPr>
          <w:bCs/>
        </w:rPr>
        <w:t>субјекти</w:t>
      </w:r>
      <w:r w:rsidR="00904ABF" w:rsidRPr="006E4BB9">
        <w:rPr>
          <w:bCs/>
        </w:rPr>
        <w:t xml:space="preserve">). </w:t>
      </w:r>
    </w:p>
    <w:p w14:paraId="45D00F74" w14:textId="2DD84995" w:rsidR="00904ABF" w:rsidRPr="006E4BB9" w:rsidRDefault="004F3344" w:rsidP="00904ABF">
      <w:pPr>
        <w:spacing w:before="160"/>
        <w:jc w:val="both"/>
        <w:rPr>
          <w:bCs/>
        </w:rPr>
      </w:pPr>
      <w:r w:rsidRPr="006E4BB9">
        <w:rPr>
          <w:bCs/>
        </w:rPr>
        <w:t xml:space="preserve">Што се тиче члана </w:t>
      </w:r>
      <w:r w:rsidR="00904ABF" w:rsidRPr="006E4BB9">
        <w:rPr>
          <w:bCs/>
        </w:rPr>
        <w:t>4</w:t>
      </w:r>
      <w:r w:rsidRPr="006E4BB9">
        <w:rPr>
          <w:bCs/>
        </w:rPr>
        <w:t>. став</w:t>
      </w:r>
      <w:r w:rsidR="00904ABF" w:rsidRPr="006E4BB9">
        <w:rPr>
          <w:bCs/>
        </w:rPr>
        <w:t xml:space="preserve"> (20) </w:t>
      </w:r>
      <w:r w:rsidR="00CA510A" w:rsidRPr="006E4BB9">
        <w:rPr>
          <w:bCs/>
          <w:i/>
        </w:rPr>
        <w:t>GDPR</w:t>
      </w:r>
      <w:r w:rsidRPr="006E4BB9">
        <w:rPr>
          <w:bCs/>
        </w:rPr>
        <w:t xml:space="preserve"> – и дефиниција субјеката који могу усвојити О</w:t>
      </w:r>
      <w:r w:rsidR="006B2AEB">
        <w:rPr>
          <w:bCs/>
        </w:rPr>
        <w:t>П</w:t>
      </w:r>
      <w:r w:rsidRPr="006E4BB9">
        <w:rPr>
          <w:bCs/>
        </w:rPr>
        <w:t>П се разликује. О</w:t>
      </w:r>
      <w:r w:rsidR="006B2AEB">
        <w:rPr>
          <w:bCs/>
        </w:rPr>
        <w:t>П</w:t>
      </w:r>
      <w:r w:rsidRPr="006E4BB9">
        <w:rPr>
          <w:bCs/>
        </w:rPr>
        <w:t>П су такође различита</w:t>
      </w:r>
      <w:r w:rsidR="00904ABF" w:rsidRPr="006E4BB9">
        <w:rPr>
          <w:bCs/>
        </w:rPr>
        <w:t xml:space="preserve">. </w:t>
      </w:r>
      <w:r w:rsidR="00CA510A" w:rsidRPr="006E4BB9">
        <w:rPr>
          <w:bCs/>
          <w:i/>
        </w:rPr>
        <w:t>GDPR</w:t>
      </w:r>
      <w:r w:rsidRPr="006E4BB9">
        <w:rPr>
          <w:bCs/>
        </w:rPr>
        <w:t xml:space="preserve"> предвиђа да О</w:t>
      </w:r>
      <w:r w:rsidR="006B2AEB">
        <w:rPr>
          <w:bCs/>
        </w:rPr>
        <w:t>П</w:t>
      </w:r>
      <w:r w:rsidRPr="006E4BB9">
        <w:rPr>
          <w:bCs/>
        </w:rPr>
        <w:t>П могу представљати правну основу за прен</w:t>
      </w:r>
      <w:r w:rsidR="009B3CBB">
        <w:rPr>
          <w:bCs/>
        </w:rPr>
        <w:t>ос података до руковаоца</w:t>
      </w:r>
      <w:r w:rsidR="00563CED">
        <w:rPr>
          <w:bCs/>
        </w:rPr>
        <w:t xml:space="preserve"> или обрађивача</w:t>
      </w:r>
      <w:r w:rsidRPr="006E4BB9">
        <w:rPr>
          <w:bCs/>
        </w:rPr>
        <w:t xml:space="preserve"> у једној или више трећих земаља </w:t>
      </w:r>
      <w:r w:rsidRPr="006E4BB9">
        <w:rPr>
          <w:bCs/>
          <w:i/>
        </w:rPr>
        <w:t>у оквиру</w:t>
      </w:r>
      <w:r w:rsidR="00904ABF" w:rsidRPr="006E4BB9">
        <w:rPr>
          <w:bCs/>
          <w:i/>
        </w:rPr>
        <w:t xml:space="preserve"> </w:t>
      </w:r>
      <w:r w:rsidRPr="006E4BB9">
        <w:rPr>
          <w:bCs/>
          <w:i/>
          <w:u w:val="single"/>
        </w:rPr>
        <w:t>групе предузећа</w:t>
      </w:r>
      <w:r w:rsidRPr="006E4BB9">
        <w:rPr>
          <w:bCs/>
          <w:i/>
        </w:rPr>
        <w:t>, или</w:t>
      </w:r>
      <w:r w:rsidR="00904ABF" w:rsidRPr="006E4BB9">
        <w:rPr>
          <w:bCs/>
          <w:i/>
        </w:rPr>
        <w:t xml:space="preserve"> </w:t>
      </w:r>
      <w:r w:rsidRPr="006E4BB9">
        <w:rPr>
          <w:bCs/>
          <w:i/>
          <w:u w:val="single"/>
        </w:rPr>
        <w:t>групе предузећа која се баве неком заједничком привредном делатношћу</w:t>
      </w:r>
      <w:r w:rsidRPr="006E4BB9">
        <w:rPr>
          <w:bCs/>
        </w:rPr>
        <w:t xml:space="preserve">; ставком </w:t>
      </w:r>
      <w:r w:rsidR="00904ABF" w:rsidRPr="006E4BB9">
        <w:rPr>
          <w:bCs/>
        </w:rPr>
        <w:t>21</w:t>
      </w:r>
      <w:r w:rsidRPr="006E4BB9">
        <w:rPr>
          <w:bCs/>
        </w:rPr>
        <w:t>. Закона је предвиђено да се О</w:t>
      </w:r>
      <w:r w:rsidR="006B2AEB">
        <w:rPr>
          <w:bCs/>
        </w:rPr>
        <w:t>П</w:t>
      </w:r>
      <w:r w:rsidRPr="006E4BB9">
        <w:rPr>
          <w:bCs/>
        </w:rPr>
        <w:t>П могу усвојити</w:t>
      </w:r>
      <w:r w:rsidR="00904ABF" w:rsidRPr="006E4BB9">
        <w:rPr>
          <w:bCs/>
        </w:rPr>
        <w:t xml:space="preserve">: </w:t>
      </w:r>
      <w:r w:rsidRPr="006E4BB9">
        <w:rPr>
          <w:bCs/>
          <w:i/>
        </w:rPr>
        <w:t xml:space="preserve">за сврху уређивања преноса података о личности </w:t>
      </w:r>
      <w:r w:rsidR="009B3CBB">
        <w:rPr>
          <w:bCs/>
          <w:i/>
        </w:rPr>
        <w:t>руковаоцу</w:t>
      </w:r>
      <w:r w:rsidR="000E0A67">
        <w:rPr>
          <w:bCs/>
          <w:i/>
        </w:rPr>
        <w:t xml:space="preserve"> или обрађивачу</w:t>
      </w:r>
      <w:r w:rsidRPr="006E4BB9">
        <w:rPr>
          <w:bCs/>
          <w:i/>
        </w:rPr>
        <w:t xml:space="preserve"> у једној или више земаља у оквиру </w:t>
      </w:r>
      <w:r w:rsidRPr="006E4BB9">
        <w:rPr>
          <w:bCs/>
          <w:i/>
          <w:u w:val="single"/>
        </w:rPr>
        <w:t>мултинационалне компаније</w:t>
      </w:r>
      <w:r w:rsidRPr="006E4BB9">
        <w:rPr>
          <w:bCs/>
          <w:i/>
        </w:rPr>
        <w:t xml:space="preserve"> или</w:t>
      </w:r>
      <w:r w:rsidR="00904ABF" w:rsidRPr="006E4BB9">
        <w:rPr>
          <w:bCs/>
          <w:i/>
        </w:rPr>
        <w:t xml:space="preserve"> </w:t>
      </w:r>
      <w:r w:rsidRPr="006E4BB9">
        <w:rPr>
          <w:bCs/>
          <w:i/>
          <w:u w:val="single"/>
        </w:rPr>
        <w:t>групе предузећа</w:t>
      </w:r>
      <w:r w:rsidRPr="006E4BB9">
        <w:rPr>
          <w:bCs/>
        </w:rPr>
        <w:t xml:space="preserve">. Ако се има у виду дефиниција „мултинационалне компаније“ у ставци </w:t>
      </w:r>
      <w:r w:rsidR="00904ABF" w:rsidRPr="006E4BB9">
        <w:rPr>
          <w:bCs/>
        </w:rPr>
        <w:t>19</w:t>
      </w:r>
      <w:r w:rsidRPr="006E4BB9">
        <w:rPr>
          <w:bCs/>
        </w:rPr>
        <w:t>. Закона, обим субјеката који могу усвојити О</w:t>
      </w:r>
      <w:r w:rsidR="000723EC">
        <w:rPr>
          <w:bCs/>
        </w:rPr>
        <w:t>П</w:t>
      </w:r>
      <w:r w:rsidRPr="006E4BB9">
        <w:rPr>
          <w:bCs/>
        </w:rPr>
        <w:t xml:space="preserve">П се </w:t>
      </w:r>
      <w:r w:rsidR="00677BD8" w:rsidRPr="006E4BB9">
        <w:rPr>
          <w:bCs/>
        </w:rPr>
        <w:t xml:space="preserve">приближава дефиницији из </w:t>
      </w:r>
      <w:r w:rsidR="00CA510A" w:rsidRPr="006E4BB9">
        <w:rPr>
          <w:bCs/>
          <w:i/>
        </w:rPr>
        <w:t>GDPR</w:t>
      </w:r>
      <w:r w:rsidR="00904ABF" w:rsidRPr="006E4BB9">
        <w:rPr>
          <w:bCs/>
        </w:rPr>
        <w:t xml:space="preserve">, </w:t>
      </w:r>
      <w:r w:rsidR="00677BD8" w:rsidRPr="006E4BB9">
        <w:rPr>
          <w:bCs/>
        </w:rPr>
        <w:t xml:space="preserve">мада се </w:t>
      </w:r>
      <w:r w:rsidR="00223B1A">
        <w:rPr>
          <w:bCs/>
        </w:rPr>
        <w:t xml:space="preserve">због </w:t>
      </w:r>
      <w:r w:rsidR="00677BD8" w:rsidRPr="006E4BB9">
        <w:rPr>
          <w:bCs/>
        </w:rPr>
        <w:t>различит</w:t>
      </w:r>
      <w:r w:rsidR="00223B1A">
        <w:rPr>
          <w:bCs/>
        </w:rPr>
        <w:t>е</w:t>
      </w:r>
      <w:r w:rsidR="00677BD8" w:rsidRPr="006E4BB9">
        <w:rPr>
          <w:bCs/>
        </w:rPr>
        <w:t xml:space="preserve"> формулациј</w:t>
      </w:r>
      <w:r w:rsidR="00223B1A">
        <w:rPr>
          <w:bCs/>
        </w:rPr>
        <w:t>е и критеријум</w:t>
      </w:r>
      <w:r w:rsidR="00677BD8" w:rsidRPr="006E4BB9">
        <w:rPr>
          <w:bCs/>
        </w:rPr>
        <w:t xml:space="preserve">а могу искључити одређене привредне делатности или компаније за које би према </w:t>
      </w:r>
      <w:r w:rsidR="00CA510A" w:rsidRPr="006E4BB9">
        <w:rPr>
          <w:bCs/>
          <w:i/>
        </w:rPr>
        <w:t>GDPR</w:t>
      </w:r>
      <w:r w:rsidR="00677BD8" w:rsidRPr="006E4BB9">
        <w:rPr>
          <w:bCs/>
        </w:rPr>
        <w:t xml:space="preserve"> постојала могућност да усвоје О</w:t>
      </w:r>
      <w:r w:rsidR="000723EC">
        <w:rPr>
          <w:bCs/>
        </w:rPr>
        <w:t>П</w:t>
      </w:r>
      <w:r w:rsidR="00677BD8" w:rsidRPr="006E4BB9">
        <w:rPr>
          <w:bCs/>
        </w:rPr>
        <w:t>П. Као закључак, било би добро</w:t>
      </w:r>
      <w:r w:rsidR="00BC27E3" w:rsidRPr="006E4BB9">
        <w:rPr>
          <w:bCs/>
        </w:rPr>
        <w:t xml:space="preserve"> </w:t>
      </w:r>
      <w:r w:rsidR="00677BD8" w:rsidRPr="006E4BB9">
        <w:rPr>
          <w:bCs/>
        </w:rPr>
        <w:t xml:space="preserve">да се формулација дефиниција у Закону усагласи са </w:t>
      </w:r>
      <w:r w:rsidR="00CA510A" w:rsidRPr="006E4BB9">
        <w:rPr>
          <w:bCs/>
          <w:i/>
        </w:rPr>
        <w:t>GDPR</w:t>
      </w:r>
      <w:r w:rsidR="00677BD8" w:rsidRPr="006E4BB9">
        <w:rPr>
          <w:bCs/>
        </w:rPr>
        <w:t xml:space="preserve">, пошто је један од примарних циљева хармонизације и да се хармонизују критеријуми за пренос података, </w:t>
      </w:r>
      <w:r w:rsidR="000723EC">
        <w:rPr>
          <w:bCs/>
        </w:rPr>
        <w:t>како</w:t>
      </w:r>
      <w:r w:rsidR="000723EC" w:rsidRPr="006E4BB9">
        <w:rPr>
          <w:bCs/>
        </w:rPr>
        <w:t xml:space="preserve"> </w:t>
      </w:r>
      <w:r w:rsidR="00677BD8" w:rsidRPr="006E4BB9">
        <w:rPr>
          <w:bCs/>
        </w:rPr>
        <w:t>би компаније које врше пренос података из ЕУ у Србију и даље у друге земље могле д</w:t>
      </w:r>
      <w:r w:rsidR="00223B1A">
        <w:rPr>
          <w:bCs/>
        </w:rPr>
        <w:t>а се ослоне на исте стандарде. Свака</w:t>
      </w:r>
      <w:r w:rsidR="00677BD8" w:rsidRPr="006E4BB9">
        <w:rPr>
          <w:bCs/>
        </w:rPr>
        <w:t xml:space="preserve"> разлик</w:t>
      </w:r>
      <w:r w:rsidR="00223B1A">
        <w:rPr>
          <w:bCs/>
        </w:rPr>
        <w:t>а</w:t>
      </w:r>
      <w:r w:rsidR="00677BD8" w:rsidRPr="006E4BB9">
        <w:rPr>
          <w:bCs/>
        </w:rPr>
        <w:t xml:space="preserve"> у терминологији и критеријумима који се користе мо</w:t>
      </w:r>
      <w:r w:rsidR="00223B1A">
        <w:rPr>
          <w:bCs/>
        </w:rPr>
        <w:t>же</w:t>
      </w:r>
      <w:r w:rsidR="00677BD8" w:rsidRPr="006E4BB9">
        <w:rPr>
          <w:bCs/>
        </w:rPr>
        <w:t xml:space="preserve"> имати за резултат ситуацију да О</w:t>
      </w:r>
      <w:r w:rsidR="000723EC">
        <w:rPr>
          <w:bCs/>
        </w:rPr>
        <w:t>П</w:t>
      </w:r>
      <w:r w:rsidR="00677BD8" w:rsidRPr="006E4BB9">
        <w:rPr>
          <w:bCs/>
        </w:rPr>
        <w:t xml:space="preserve">П која су одобрена од </w:t>
      </w:r>
      <w:r w:rsidR="00677BD8" w:rsidRPr="006E4BB9">
        <w:rPr>
          <w:bCs/>
        </w:rPr>
        <w:lastRenderedPageBreak/>
        <w:t xml:space="preserve">стране главног надзорног органа из ЕУ </w:t>
      </w:r>
      <w:r w:rsidR="00904ABF" w:rsidRPr="006E4BB9">
        <w:rPr>
          <w:bCs/>
        </w:rPr>
        <w:t>(</w:t>
      </w:r>
      <w:r w:rsidR="00677BD8" w:rsidRPr="006E4BB9">
        <w:rPr>
          <w:bCs/>
        </w:rPr>
        <w:t>који на пример дозвољава пренос података из ЕУ у Србију и даље у Индију</w:t>
      </w:r>
      <w:r w:rsidR="00904ABF" w:rsidRPr="006E4BB9">
        <w:rPr>
          <w:bCs/>
        </w:rPr>
        <w:t xml:space="preserve">) </w:t>
      </w:r>
      <w:r w:rsidR="00457A94" w:rsidRPr="006E4BB9">
        <w:rPr>
          <w:bCs/>
        </w:rPr>
        <w:t>можда неће бити одобрена од стране Повереника Републике Србије</w:t>
      </w:r>
      <w:r w:rsidR="00904ABF" w:rsidRPr="006E4BB9">
        <w:rPr>
          <w:bCs/>
        </w:rPr>
        <w:t xml:space="preserve">. </w:t>
      </w:r>
      <w:r w:rsidR="00457A94" w:rsidRPr="006E4BB9">
        <w:rPr>
          <w:bCs/>
        </w:rPr>
        <w:t xml:space="preserve">На тај начин </w:t>
      </w:r>
      <w:r w:rsidR="00223B1A">
        <w:rPr>
          <w:bCs/>
        </w:rPr>
        <w:t xml:space="preserve">се не пружа подстицај </w:t>
      </w:r>
      <w:r w:rsidR="00457A94" w:rsidRPr="006E4BB9">
        <w:rPr>
          <w:bCs/>
        </w:rPr>
        <w:t>компаниј</w:t>
      </w:r>
      <w:r w:rsidR="00223B1A">
        <w:rPr>
          <w:bCs/>
        </w:rPr>
        <w:t>ама</w:t>
      </w:r>
      <w:r w:rsidR="00457A94" w:rsidRPr="006E4BB9">
        <w:rPr>
          <w:bCs/>
        </w:rPr>
        <w:t xml:space="preserve"> из ЕУ да врше пренос података у Србију због административних препрека (или чак само из страха од могућих административних препрека</w:t>
      </w:r>
      <w:r w:rsidR="00904ABF" w:rsidRPr="006E4BB9">
        <w:rPr>
          <w:bCs/>
        </w:rPr>
        <w:t xml:space="preserve">). </w:t>
      </w:r>
    </w:p>
    <w:p w14:paraId="59EDAE9B" w14:textId="77777777" w:rsidR="00904ABF" w:rsidRPr="006E4BB9" w:rsidRDefault="00904ABF" w:rsidP="00904ABF">
      <w:pPr>
        <w:spacing w:before="240" w:after="200" w:line="240" w:lineRule="auto"/>
        <w:jc w:val="both"/>
        <w:rPr>
          <w:b/>
          <w:bCs/>
        </w:rPr>
      </w:pPr>
      <w:r w:rsidRPr="006E4BB9">
        <w:rPr>
          <w:b/>
          <w:bCs/>
        </w:rPr>
        <w:t xml:space="preserve">II. </w:t>
      </w:r>
      <w:r w:rsidR="0074647F" w:rsidRPr="006E4BB9">
        <w:rPr>
          <w:b/>
          <w:bCs/>
        </w:rPr>
        <w:t>НАЧЕЛА</w:t>
      </w:r>
    </w:p>
    <w:tbl>
      <w:tblPr>
        <w:tblW w:w="5000" w:type="pct"/>
        <w:tblCellSpacing w:w="0" w:type="dxa"/>
        <w:tblCellMar>
          <w:left w:w="0" w:type="dxa"/>
          <w:right w:w="0" w:type="dxa"/>
        </w:tblCellMar>
        <w:tblLook w:val="04A0" w:firstRow="1" w:lastRow="0" w:firstColumn="1" w:lastColumn="0" w:noHBand="0" w:noVBand="1"/>
      </w:tblPr>
      <w:tblGrid>
        <w:gridCol w:w="8992"/>
        <w:gridCol w:w="78"/>
      </w:tblGrid>
      <w:tr w:rsidR="00904ABF" w:rsidRPr="006E4BB9" w14:paraId="34E92D7D" w14:textId="77777777" w:rsidTr="00365477">
        <w:trPr>
          <w:tblCellSpacing w:w="0" w:type="dxa"/>
        </w:trPr>
        <w:tc>
          <w:tcPr>
            <w:tcW w:w="0" w:type="auto"/>
            <w:hideMark/>
          </w:tcPr>
          <w:p w14:paraId="0E504581" w14:textId="77777777" w:rsidR="00904ABF" w:rsidRPr="006E4BB9" w:rsidRDefault="0074647F" w:rsidP="0074647F">
            <w:pPr>
              <w:jc w:val="both"/>
            </w:pPr>
            <w:r w:rsidRPr="006E4BB9">
              <w:rPr>
                <w:b/>
                <w:bCs/>
              </w:rPr>
              <w:t>Члан</w:t>
            </w:r>
            <w:r w:rsidR="00904ABF" w:rsidRPr="006E4BB9">
              <w:rPr>
                <w:b/>
                <w:bCs/>
              </w:rPr>
              <w:t xml:space="preserve"> 7:</w:t>
            </w:r>
          </w:p>
        </w:tc>
        <w:tc>
          <w:tcPr>
            <w:tcW w:w="0" w:type="auto"/>
            <w:hideMark/>
          </w:tcPr>
          <w:p w14:paraId="38872D7F" w14:textId="77777777" w:rsidR="00904ABF" w:rsidRPr="006E4BB9" w:rsidRDefault="00904ABF" w:rsidP="00904ABF">
            <w:pPr>
              <w:jc w:val="both"/>
            </w:pPr>
            <w:r w:rsidRPr="006E4BB9">
              <w:t xml:space="preserve"> </w:t>
            </w:r>
          </w:p>
        </w:tc>
      </w:tr>
    </w:tbl>
    <w:p w14:paraId="7082F1C5" w14:textId="77777777" w:rsidR="00904ABF" w:rsidRPr="006E4BB9" w:rsidRDefault="0074647F" w:rsidP="00904ABF">
      <w:pPr>
        <w:jc w:val="both"/>
      </w:pPr>
      <w:r w:rsidRPr="006E4BB9">
        <w:t>У</w:t>
      </w:r>
      <w:r w:rsidR="00457A94" w:rsidRPr="006E4BB9">
        <w:t xml:space="preserve"> у</w:t>
      </w:r>
      <w:r w:rsidRPr="006E4BB9">
        <w:t>водн</w:t>
      </w:r>
      <w:r w:rsidR="00457A94" w:rsidRPr="006E4BB9">
        <w:t>ој</w:t>
      </w:r>
      <w:r w:rsidRPr="006E4BB9">
        <w:t xml:space="preserve"> изјав</w:t>
      </w:r>
      <w:r w:rsidR="00457A94" w:rsidRPr="006E4BB9">
        <w:t>и</w:t>
      </w:r>
      <w:r w:rsidRPr="006E4BB9">
        <w:t xml:space="preserve"> </w:t>
      </w:r>
      <w:r w:rsidR="00904ABF" w:rsidRPr="006E4BB9">
        <w:t>26</w:t>
      </w:r>
      <w:r w:rsidRPr="006E4BB9">
        <w:t xml:space="preserve">. </w:t>
      </w:r>
      <w:r w:rsidR="00CA510A" w:rsidRPr="006E4BB9">
        <w:rPr>
          <w:i/>
        </w:rPr>
        <w:t>LED</w:t>
      </w:r>
      <w:r w:rsidR="00904ABF" w:rsidRPr="006E4BB9">
        <w:t xml:space="preserve"> </w:t>
      </w:r>
      <w:r w:rsidR="00457A94" w:rsidRPr="006E4BB9">
        <w:t xml:space="preserve">се </w:t>
      </w:r>
      <w:r w:rsidRPr="006E4BB9">
        <w:t>предвиђа да државе чланице треба да утврде одговарајуће заштитне мере за податке о личности који се складиште на дуже периоде за архивирање у јавном интересу, научне, статистичке или историјске употребе</w:t>
      </w:r>
      <w:r w:rsidR="00904ABF" w:rsidRPr="006E4BB9">
        <w:t xml:space="preserve">. </w:t>
      </w:r>
      <w:r w:rsidRPr="006E4BB9">
        <w:t>Чланом</w:t>
      </w:r>
      <w:r w:rsidR="00904ABF" w:rsidRPr="006E4BB9">
        <w:t xml:space="preserve"> 7</w:t>
      </w:r>
      <w:r w:rsidRPr="006E4BB9">
        <w:t>. став</w:t>
      </w:r>
      <w:r w:rsidR="00904ABF" w:rsidRPr="006E4BB9">
        <w:t xml:space="preserve"> 3</w:t>
      </w:r>
      <w:r w:rsidRPr="006E4BB9">
        <w:t xml:space="preserve">. Закона је предвиђено да обрада од стране истог или неког другог </w:t>
      </w:r>
      <w:r w:rsidR="00D9516F">
        <w:t>руковаоца</w:t>
      </w:r>
      <w:r w:rsidRPr="006E4BB9">
        <w:t xml:space="preserve"> може укључивати архивирање у јавном интересу, научне, статистичке или историјске употребе, за сврхе наведене у члану </w:t>
      </w:r>
      <w:r w:rsidR="00904ABF" w:rsidRPr="006E4BB9">
        <w:t>1</w:t>
      </w:r>
      <w:r w:rsidRPr="006E4BB9">
        <w:t xml:space="preserve">. став </w:t>
      </w:r>
      <w:r w:rsidR="00904ABF" w:rsidRPr="006E4BB9">
        <w:t>1,</w:t>
      </w:r>
      <w:r w:rsidRPr="006E4BB9">
        <w:t xml:space="preserve"> у зависности од одговарајућих заштитних мера за права и слободе лица на која се подаци односе</w:t>
      </w:r>
      <w:r w:rsidR="00904ABF" w:rsidRPr="006E4BB9">
        <w:t xml:space="preserve">. </w:t>
      </w:r>
      <w:r w:rsidRPr="006E4BB9">
        <w:t xml:space="preserve">Закон не доноси одговарајуће заштитне мере како се захтева уводном изјавом </w:t>
      </w:r>
      <w:r w:rsidR="00092A80" w:rsidRPr="006E4BB9">
        <w:t>26</w:t>
      </w:r>
      <w:r w:rsidRPr="006E4BB9">
        <w:t>.</w:t>
      </w:r>
      <w:r w:rsidR="00092A80" w:rsidRPr="006E4BB9">
        <w:t xml:space="preserve"> </w:t>
      </w:r>
      <w:r w:rsidR="00CA510A" w:rsidRPr="006E4BB9">
        <w:rPr>
          <w:i/>
        </w:rPr>
        <w:t>LED</w:t>
      </w:r>
      <w:r w:rsidR="00092A80" w:rsidRPr="006E4BB9">
        <w:t xml:space="preserve"> </w:t>
      </w:r>
      <w:r w:rsidRPr="006E4BB9">
        <w:t>на</w:t>
      </w:r>
      <w:r w:rsidR="00904ABF" w:rsidRPr="006E4BB9">
        <w:t xml:space="preserve"> </w:t>
      </w:r>
      <w:r w:rsidRPr="006E4BB9">
        <w:t>одговарајући и довољан начин</w:t>
      </w:r>
      <w:r w:rsidR="00904ABF" w:rsidRPr="006E4BB9">
        <w:t xml:space="preserve"> (</w:t>
      </w:r>
      <w:r w:rsidR="00D748E6">
        <w:t xml:space="preserve">у </w:t>
      </w:r>
      <w:r w:rsidRPr="006E4BB9">
        <w:t>члан</w:t>
      </w:r>
      <w:r w:rsidR="00D748E6">
        <w:t>у</w:t>
      </w:r>
      <w:r w:rsidRPr="006E4BB9">
        <w:t xml:space="preserve"> </w:t>
      </w:r>
      <w:r w:rsidR="00904ABF" w:rsidRPr="006E4BB9">
        <w:t>92</w:t>
      </w:r>
      <w:r w:rsidRPr="006E4BB9">
        <w:t xml:space="preserve">. Закона </w:t>
      </w:r>
      <w:r w:rsidR="00D748E6">
        <w:t>с</w:t>
      </w:r>
      <w:r w:rsidRPr="006E4BB9">
        <w:t xml:space="preserve">е осим тога </w:t>
      </w:r>
      <w:r w:rsidR="00582820" w:rsidRPr="006E4BB9">
        <w:t>не</w:t>
      </w:r>
      <w:r w:rsidR="00D748E6">
        <w:t xml:space="preserve"> пружају </w:t>
      </w:r>
      <w:r w:rsidR="00582820" w:rsidRPr="006E4BB9">
        <w:t>довољ</w:t>
      </w:r>
      <w:r w:rsidR="00D748E6">
        <w:t>не з</w:t>
      </w:r>
      <w:r w:rsidR="00582820" w:rsidRPr="006E4BB9">
        <w:t>аштитн</w:t>
      </w:r>
      <w:r w:rsidR="00D748E6">
        <w:t>е</w:t>
      </w:r>
      <w:r w:rsidR="00582820" w:rsidRPr="006E4BB9">
        <w:t xml:space="preserve"> мер</w:t>
      </w:r>
      <w:r w:rsidR="00D748E6">
        <w:t>е</w:t>
      </w:r>
      <w:r w:rsidR="00582820" w:rsidRPr="006E4BB9">
        <w:t xml:space="preserve"> на које се упућује у уводној изјави </w:t>
      </w:r>
      <w:r w:rsidR="00092A80" w:rsidRPr="006E4BB9">
        <w:t>26</w:t>
      </w:r>
      <w:r w:rsidR="00582820" w:rsidRPr="006E4BB9">
        <w:t>.</w:t>
      </w:r>
      <w:r w:rsidR="00092A80" w:rsidRPr="006E4BB9">
        <w:t xml:space="preserve"> </w:t>
      </w:r>
      <w:r w:rsidR="00CA510A" w:rsidRPr="006E4BB9">
        <w:rPr>
          <w:i/>
        </w:rPr>
        <w:t>LED</w:t>
      </w:r>
      <w:r w:rsidR="00904ABF" w:rsidRPr="006E4BB9">
        <w:t xml:space="preserve">). </w:t>
      </w:r>
    </w:p>
    <w:p w14:paraId="6A81F8D7" w14:textId="77777777" w:rsidR="00904ABF" w:rsidRPr="006E4BB9" w:rsidRDefault="00582820" w:rsidP="00904ABF">
      <w:pPr>
        <w:jc w:val="both"/>
        <w:rPr>
          <w:b/>
          <w:bCs/>
        </w:rPr>
      </w:pPr>
      <w:r w:rsidRPr="006E4BB9">
        <w:rPr>
          <w:b/>
          <w:bCs/>
        </w:rPr>
        <w:t>Члан</w:t>
      </w:r>
      <w:r w:rsidR="00904ABF" w:rsidRPr="006E4BB9">
        <w:rPr>
          <w:b/>
          <w:bCs/>
        </w:rPr>
        <w:t xml:space="preserve"> 8:</w:t>
      </w:r>
      <w:r w:rsidR="003B692B" w:rsidRPr="006E4BB9">
        <w:rPr>
          <w:b/>
          <w:bCs/>
        </w:rPr>
        <w:t xml:space="preserve"> </w:t>
      </w:r>
    </w:p>
    <w:p w14:paraId="17344E10" w14:textId="5D8BAC13" w:rsidR="00904ABF" w:rsidRPr="006E4BB9" w:rsidRDefault="00CA510A" w:rsidP="00904ABF">
      <w:pPr>
        <w:jc w:val="both"/>
      </w:pPr>
      <w:r w:rsidRPr="006E4BB9">
        <w:rPr>
          <w:i/>
        </w:rPr>
        <w:t>LED</w:t>
      </w:r>
      <w:r w:rsidR="00904ABF" w:rsidRPr="006E4BB9">
        <w:t xml:space="preserve"> (</w:t>
      </w:r>
      <w:r w:rsidR="00943B23" w:rsidRPr="006E4BB9">
        <w:t>у члану</w:t>
      </w:r>
      <w:r w:rsidR="00904ABF" w:rsidRPr="006E4BB9">
        <w:t xml:space="preserve"> 5</w:t>
      </w:r>
      <w:r w:rsidR="00943B23" w:rsidRPr="006E4BB9">
        <w:t>.</w:t>
      </w:r>
      <w:r w:rsidR="00904ABF" w:rsidRPr="006E4BB9">
        <w:t xml:space="preserve">) </w:t>
      </w:r>
      <w:r w:rsidR="00943B23" w:rsidRPr="006E4BB9">
        <w:t>оставља могућност националним законодавцима да пропишу или одговарајуће рокове које треба утврдити за брисање података о личности или периодичн</w:t>
      </w:r>
      <w:r w:rsidR="00972730">
        <w:t>о преиспитивање</w:t>
      </w:r>
      <w:r w:rsidR="00943B23" w:rsidRPr="006E4BB9">
        <w:t xml:space="preserve"> потребе за </w:t>
      </w:r>
      <w:r w:rsidR="00D52DCF">
        <w:rPr>
          <w:lang w:val="sr-Cyrl-RS"/>
        </w:rPr>
        <w:t>чувањем</w:t>
      </w:r>
      <w:r w:rsidR="00D52DCF" w:rsidRPr="006E4BB9">
        <w:t xml:space="preserve"> </w:t>
      </w:r>
      <w:r w:rsidR="00943B23" w:rsidRPr="006E4BB9">
        <w:t>података о личности. У сваком случају, процедуралним мерама треба обезбедити да се ти рокови поштују</w:t>
      </w:r>
      <w:r w:rsidR="00904ABF" w:rsidRPr="006E4BB9">
        <w:t xml:space="preserve">. </w:t>
      </w:r>
      <w:r w:rsidR="00943B23" w:rsidRPr="006E4BB9">
        <w:t xml:space="preserve">Из Закона произилази да се њиме предвиђа само да, уколико рок није утврђен законом, </w:t>
      </w:r>
      <w:r w:rsidR="00D9516F">
        <w:t xml:space="preserve">руковалац </w:t>
      </w:r>
      <w:r w:rsidR="00943B23" w:rsidRPr="006E4BB9">
        <w:t xml:space="preserve">утврђује овај рок. </w:t>
      </w:r>
      <w:r w:rsidR="0056322A" w:rsidRPr="006E4BB9">
        <w:t xml:space="preserve">Законом нису утврђени рокови и нису установљени критеријуми које </w:t>
      </w:r>
      <w:r w:rsidR="00D9516F">
        <w:t>руковалац</w:t>
      </w:r>
      <w:r w:rsidR="0056322A" w:rsidRPr="006E4BB9">
        <w:t xml:space="preserve"> треба да користи када утврђује временске рокове</w:t>
      </w:r>
      <w:r w:rsidR="00904ABF" w:rsidRPr="006E4BB9">
        <w:t xml:space="preserve">. </w:t>
      </w:r>
    </w:p>
    <w:p w14:paraId="4CA37C40" w14:textId="6D95CD37" w:rsidR="00904ABF" w:rsidRPr="006E4BB9" w:rsidRDefault="0056322A" w:rsidP="00904ABF">
      <w:pPr>
        <w:jc w:val="both"/>
      </w:pPr>
      <w:r w:rsidRPr="006E4BB9">
        <w:t xml:space="preserve">Националним законом треба утврдити </w:t>
      </w:r>
      <w:r w:rsidR="00972730">
        <w:t>најдуже могуће рокове за складиштење</w:t>
      </w:r>
      <w:r w:rsidRPr="006E4BB9">
        <w:t xml:space="preserve"> података и осим тога пружити јасне, објективне и прецизне критеријуме на којима одлука да се подаци </w:t>
      </w:r>
      <w:r w:rsidR="005A7CF9">
        <w:t>чувају</w:t>
      </w:r>
      <w:r w:rsidR="005A7CF9" w:rsidRPr="006E4BB9">
        <w:t xml:space="preserve"> </w:t>
      </w:r>
      <w:r w:rsidRPr="006E4BB9">
        <w:t>током неког дужег временског периода треба да буде заснована</w:t>
      </w:r>
      <w:r w:rsidR="00904ABF" w:rsidRPr="006E4BB9">
        <w:t xml:space="preserve">. </w:t>
      </w:r>
      <w:r w:rsidRPr="006E4BB9">
        <w:t>Под претпоставком да национални закони којима се уређују надлежни органи и складиштење података који они врше не намеће обавезу периодичн</w:t>
      </w:r>
      <w:r w:rsidR="005A7CF9">
        <w:t>ог</w:t>
      </w:r>
      <w:r w:rsidRPr="006E4BB9">
        <w:t xml:space="preserve"> пре</w:t>
      </w:r>
      <w:r w:rsidR="00972730">
        <w:t>испитивања</w:t>
      </w:r>
      <w:r w:rsidRPr="006E4BB9">
        <w:t xml:space="preserve"> потребе за </w:t>
      </w:r>
      <w:r w:rsidR="005A7CF9">
        <w:t>чувањем</w:t>
      </w:r>
      <w:r w:rsidR="005A7CF9" w:rsidRPr="006E4BB9">
        <w:t xml:space="preserve"> </w:t>
      </w:r>
      <w:r w:rsidRPr="006E4BB9">
        <w:t xml:space="preserve">одређене врсте података, општим законом о заштити података би требало дати пример и предвидети ову обавезу и одговарајуће критеријуме. Одлука да се подаци даље чувају и критеријуми који се користе за прихватање ове одлуке треба да буду транспарентни </w:t>
      </w:r>
      <w:r w:rsidR="004B5659" w:rsidRPr="006E4BB9">
        <w:t>и треба их учинити доступним лицима на која се подаци односе и Поверенику</w:t>
      </w:r>
      <w:r w:rsidR="00904ABF" w:rsidRPr="006E4BB9">
        <w:t xml:space="preserve">. </w:t>
      </w:r>
    </w:p>
    <w:p w14:paraId="36E2852F" w14:textId="13DB1C71" w:rsidR="00904ABF" w:rsidRPr="006E4BB9" w:rsidRDefault="004B5659" w:rsidP="00904ABF">
      <w:pPr>
        <w:jc w:val="both"/>
      </w:pPr>
      <w:r w:rsidRPr="006E4BB9">
        <w:t xml:space="preserve">Према ставу </w:t>
      </w:r>
      <w:r w:rsidR="00904ABF" w:rsidRPr="006E4BB9">
        <w:t>4</w:t>
      </w:r>
      <w:r w:rsidRPr="006E4BB9">
        <w:t>. Повереник „</w:t>
      </w:r>
      <w:r w:rsidR="00020A26">
        <w:t>надзире</w:t>
      </w:r>
      <w:r w:rsidR="00020A26" w:rsidRPr="006E4BB9">
        <w:t xml:space="preserve"> </w:t>
      </w:r>
      <w:r w:rsidRPr="006E4BB9">
        <w:t>поштовањ</w:t>
      </w:r>
      <w:r w:rsidR="00020A26">
        <w:t>е</w:t>
      </w:r>
      <w:r w:rsidRPr="006E4BB9">
        <w:t xml:space="preserve"> рокова у складу са својим </w:t>
      </w:r>
      <w:r w:rsidR="00020A26">
        <w:t>овлашћењима</w:t>
      </w:r>
      <w:r w:rsidR="00020A26" w:rsidRPr="006E4BB9">
        <w:t xml:space="preserve"> </w:t>
      </w:r>
      <w:r w:rsidRPr="006E4BB9">
        <w:t xml:space="preserve">прописаним овим Законом“. Закон не садржи казнене одредбе за ово питање и стога није могуће </w:t>
      </w:r>
      <w:r w:rsidR="00972730">
        <w:t>утврдити</w:t>
      </w:r>
      <w:r w:rsidRPr="006E4BB9">
        <w:t xml:space="preserve"> одговорност у случају повреде</w:t>
      </w:r>
      <w:r w:rsidR="00904ABF" w:rsidRPr="006E4BB9">
        <w:t xml:space="preserve">. </w:t>
      </w:r>
    </w:p>
    <w:p w14:paraId="2B1C1F10" w14:textId="77777777" w:rsidR="00904ABF" w:rsidRPr="006E4BB9" w:rsidRDefault="004B5659" w:rsidP="00904ABF">
      <w:pPr>
        <w:jc w:val="both"/>
        <w:rPr>
          <w:b/>
          <w:bCs/>
        </w:rPr>
      </w:pPr>
      <w:r w:rsidRPr="006E4BB9">
        <w:rPr>
          <w:b/>
          <w:bCs/>
        </w:rPr>
        <w:t>Члан</w:t>
      </w:r>
      <w:r w:rsidR="00904ABF" w:rsidRPr="006E4BB9">
        <w:rPr>
          <w:b/>
          <w:bCs/>
        </w:rPr>
        <w:t xml:space="preserve"> 9:</w:t>
      </w:r>
      <w:r w:rsidR="003B692B" w:rsidRPr="006E4BB9">
        <w:rPr>
          <w:b/>
          <w:bCs/>
        </w:rPr>
        <w:t xml:space="preserve"> </w:t>
      </w:r>
    </w:p>
    <w:p w14:paraId="70E06B1F" w14:textId="77777777" w:rsidR="00904ABF" w:rsidRPr="006E4BB9" w:rsidRDefault="004B5659" w:rsidP="00904ABF">
      <w:pPr>
        <w:jc w:val="both"/>
      </w:pPr>
      <w:r w:rsidRPr="006E4BB9">
        <w:t xml:space="preserve">Није нам јасан разлог за постојање разлике између ставке </w:t>
      </w:r>
      <w:r w:rsidR="002A61DC" w:rsidRPr="006E4BB9">
        <w:t xml:space="preserve">1) </w:t>
      </w:r>
      <w:r w:rsidRPr="006E4BB9">
        <w:t>и</w:t>
      </w:r>
      <w:r w:rsidR="002A61DC" w:rsidRPr="006E4BB9">
        <w:t xml:space="preserve"> </w:t>
      </w:r>
      <w:r w:rsidR="00904ABF" w:rsidRPr="006E4BB9">
        <w:t xml:space="preserve">2) </w:t>
      </w:r>
      <w:r w:rsidRPr="006E4BB9">
        <w:t>у Закону</w:t>
      </w:r>
      <w:r w:rsidR="00904ABF" w:rsidRPr="006E4BB9">
        <w:t xml:space="preserve">. </w:t>
      </w:r>
      <w:r w:rsidRPr="006E4BB9">
        <w:t xml:space="preserve">У </w:t>
      </w:r>
      <w:r w:rsidR="00CA510A" w:rsidRPr="006E4BB9">
        <w:rPr>
          <w:i/>
        </w:rPr>
        <w:t>LED</w:t>
      </w:r>
      <w:r w:rsidR="00904ABF" w:rsidRPr="006E4BB9">
        <w:t xml:space="preserve"> (</w:t>
      </w:r>
      <w:r w:rsidRPr="006E4BB9">
        <w:t>у члану</w:t>
      </w:r>
      <w:r w:rsidR="00904ABF" w:rsidRPr="006E4BB9">
        <w:t xml:space="preserve"> 6</w:t>
      </w:r>
      <w:r w:rsidRPr="006E4BB9">
        <w:t>.</w:t>
      </w:r>
      <w:r w:rsidR="00904ABF" w:rsidRPr="006E4BB9">
        <w:t xml:space="preserve">) </w:t>
      </w:r>
      <w:r w:rsidRPr="006E4BB9">
        <w:t>се не прави разлика између различитих нивоа сумње</w:t>
      </w:r>
      <w:r w:rsidR="00A0426F" w:rsidRPr="006E4BB9">
        <w:t xml:space="preserve"> (</w:t>
      </w:r>
      <w:r w:rsidRPr="006E4BB9">
        <w:t xml:space="preserve">видети члан </w:t>
      </w:r>
      <w:r w:rsidR="00A0426F" w:rsidRPr="006E4BB9">
        <w:t xml:space="preserve">6(a) </w:t>
      </w:r>
      <w:r w:rsidR="00CA510A" w:rsidRPr="006E4BB9">
        <w:rPr>
          <w:i/>
        </w:rPr>
        <w:t>LED</w:t>
      </w:r>
      <w:r w:rsidR="00A0426F" w:rsidRPr="006E4BB9">
        <w:t>)</w:t>
      </w:r>
      <w:r w:rsidRPr="006E4BB9">
        <w:t xml:space="preserve"> чиме се наравно не спречава да се таква разлика направи у националном закону</w:t>
      </w:r>
      <w:r w:rsidR="002A61DC" w:rsidRPr="006E4BB9">
        <w:t>,</w:t>
      </w:r>
      <w:r w:rsidRPr="006E4BB9">
        <w:t xml:space="preserve"> иако таква разлика треба да буде добро заснована и она треба да доноси додату вредност</w:t>
      </w:r>
      <w:r w:rsidR="00904ABF" w:rsidRPr="006E4BB9">
        <w:t>.</w:t>
      </w:r>
      <w:r w:rsidR="002A61DC" w:rsidRPr="006E4BB9">
        <w:t xml:space="preserve"> </w:t>
      </w:r>
      <w:r w:rsidRPr="006E4BB9">
        <w:t>Ми не можемо препознати додату вредност у овом решењу</w:t>
      </w:r>
      <w:r w:rsidR="002A61DC" w:rsidRPr="006E4BB9">
        <w:t xml:space="preserve">.  </w:t>
      </w:r>
      <w:r w:rsidR="00525F45" w:rsidRPr="006E4BB9">
        <w:t xml:space="preserve"> </w:t>
      </w:r>
    </w:p>
    <w:p w14:paraId="683D71D5" w14:textId="77777777" w:rsidR="00E7302F" w:rsidRDefault="00E7302F" w:rsidP="00904ABF">
      <w:pPr>
        <w:jc w:val="both"/>
        <w:rPr>
          <w:b/>
          <w:bCs/>
        </w:rPr>
      </w:pPr>
    </w:p>
    <w:p w14:paraId="6C7A7AF2" w14:textId="77777777" w:rsidR="00525F45" w:rsidRPr="006E4BB9" w:rsidRDefault="004B5659" w:rsidP="00904ABF">
      <w:pPr>
        <w:jc w:val="both"/>
        <w:rPr>
          <w:b/>
          <w:bCs/>
          <w:color w:val="FF0000"/>
        </w:rPr>
      </w:pPr>
      <w:r w:rsidRPr="006E4BB9">
        <w:rPr>
          <w:b/>
          <w:bCs/>
        </w:rPr>
        <w:lastRenderedPageBreak/>
        <w:t>Члан</w:t>
      </w:r>
      <w:r w:rsidR="00904ABF" w:rsidRPr="006E4BB9">
        <w:rPr>
          <w:b/>
          <w:bCs/>
        </w:rPr>
        <w:t xml:space="preserve"> 10:</w:t>
      </w:r>
      <w:r w:rsidR="003B692B" w:rsidRPr="006E4BB9">
        <w:rPr>
          <w:b/>
          <w:bCs/>
          <w:color w:val="FF0000"/>
        </w:rPr>
        <w:t xml:space="preserve"> </w:t>
      </w:r>
    </w:p>
    <w:p w14:paraId="31CB8B54" w14:textId="77777777" w:rsidR="00904ABF" w:rsidRPr="006E4BB9" w:rsidRDefault="004B5659" w:rsidP="00904ABF">
      <w:pPr>
        <w:jc w:val="both"/>
      </w:pPr>
      <w:r w:rsidRPr="006E4BB9">
        <w:t xml:space="preserve">Није јасно на који начин односно како </w:t>
      </w:r>
      <w:r w:rsidR="00194688" w:rsidRPr="006E4BB9">
        <w:t>ће се правити разлика између</w:t>
      </w:r>
      <w:r w:rsidRPr="006E4BB9">
        <w:t xml:space="preserve"> пода</w:t>
      </w:r>
      <w:r w:rsidR="00194688" w:rsidRPr="006E4BB9">
        <w:t>така</w:t>
      </w:r>
      <w:r w:rsidRPr="006E4BB9">
        <w:t xml:space="preserve"> о личности засновани</w:t>
      </w:r>
      <w:r w:rsidR="00194688" w:rsidRPr="006E4BB9">
        <w:t>х</w:t>
      </w:r>
      <w:r w:rsidRPr="006E4BB9">
        <w:t xml:space="preserve"> на чињеницама </w:t>
      </w:r>
      <w:r w:rsidR="00194688" w:rsidRPr="006E4BB9">
        <w:t>и оних који су засновани на личним проценама</w:t>
      </w:r>
      <w:r w:rsidR="00904ABF" w:rsidRPr="006E4BB9">
        <w:t xml:space="preserve">. </w:t>
      </w:r>
      <w:r w:rsidR="00194688" w:rsidRPr="006E4BB9">
        <w:t>Да ли ће ти подаци на пример бити обележени или опремљени неким посебним симболом или словом или неким сличним решењем</w:t>
      </w:r>
      <w:r w:rsidR="00904ABF" w:rsidRPr="006E4BB9">
        <w:t xml:space="preserve">? </w:t>
      </w:r>
      <w:r w:rsidR="00194688" w:rsidRPr="006E4BB9">
        <w:t>Лична процена треба да буде предмет периодичних пре</w:t>
      </w:r>
      <w:r w:rsidR="00972730">
        <w:t>испитивања</w:t>
      </w:r>
      <w:r w:rsidR="00904ABF" w:rsidRPr="006E4BB9">
        <w:t>.</w:t>
      </w:r>
      <w:r w:rsidR="00194688" w:rsidRPr="006E4BB9">
        <w:t xml:space="preserve"> Наша је препорука да се утврди колико често треба обављати ова пре</w:t>
      </w:r>
      <w:r w:rsidR="00972730">
        <w:t>испитивања</w:t>
      </w:r>
      <w:r w:rsidR="00904ABF" w:rsidRPr="006E4BB9">
        <w:t xml:space="preserve"> (</w:t>
      </w:r>
      <w:r w:rsidR="00194688" w:rsidRPr="006E4BB9">
        <w:t>након одређеног временског периода или ако дође до промене релевантних околности</w:t>
      </w:r>
      <w:r w:rsidR="00904ABF" w:rsidRPr="006E4BB9">
        <w:t>).</w:t>
      </w:r>
    </w:p>
    <w:p w14:paraId="68ACE144" w14:textId="77777777" w:rsidR="00904ABF" w:rsidRPr="006E4BB9" w:rsidRDefault="00194688" w:rsidP="00904ABF">
      <w:pPr>
        <w:jc w:val="both"/>
        <w:rPr>
          <w:b/>
          <w:bCs/>
        </w:rPr>
      </w:pPr>
      <w:r w:rsidRPr="006E4BB9">
        <w:rPr>
          <w:b/>
          <w:bCs/>
        </w:rPr>
        <w:t>Члан</w:t>
      </w:r>
      <w:r w:rsidR="00904ABF" w:rsidRPr="006E4BB9">
        <w:rPr>
          <w:b/>
          <w:bCs/>
        </w:rPr>
        <w:t xml:space="preserve"> 11:</w:t>
      </w:r>
      <w:r w:rsidR="00525F45" w:rsidRPr="006E4BB9">
        <w:rPr>
          <w:b/>
          <w:bCs/>
        </w:rPr>
        <w:t xml:space="preserve"> </w:t>
      </w:r>
    </w:p>
    <w:p w14:paraId="4B4AE00B" w14:textId="77777777" w:rsidR="00904ABF" w:rsidRPr="006E4BB9" w:rsidRDefault="00BC27E3" w:rsidP="00904ABF">
      <w:pPr>
        <w:spacing w:before="120" w:after="0" w:line="240" w:lineRule="auto"/>
        <w:jc w:val="both"/>
      </w:pPr>
      <w:r w:rsidRPr="006E4BB9">
        <w:t xml:space="preserve">У поређењу са </w:t>
      </w:r>
      <w:r w:rsidR="00CA510A" w:rsidRPr="006E4BB9">
        <w:rPr>
          <w:i/>
        </w:rPr>
        <w:t>LED</w:t>
      </w:r>
      <w:r w:rsidR="00904ABF" w:rsidRPr="006E4BB9">
        <w:t>,</w:t>
      </w:r>
      <w:r w:rsidRPr="006E4BB9">
        <w:t xml:space="preserve"> Закон предвиђа </w:t>
      </w:r>
      <w:r w:rsidR="00904ABF" w:rsidRPr="006E4BB9">
        <w:t>(</w:t>
      </w:r>
      <w:r w:rsidRPr="006E4BB9">
        <w:t xml:space="preserve">у ставу </w:t>
      </w:r>
      <w:r w:rsidR="00904ABF" w:rsidRPr="006E4BB9">
        <w:t>3</w:t>
      </w:r>
      <w:r w:rsidRPr="006E4BB9">
        <w:t>.</w:t>
      </w:r>
      <w:r w:rsidR="00904ABF" w:rsidRPr="006E4BB9">
        <w:t xml:space="preserve">) </w:t>
      </w:r>
      <w:r w:rsidRPr="006E4BB9">
        <w:t>да надлежни орган који врши пренос података о личности достави, у мери у којој је то могуће, неопходне информације које ће омогућити процену степена, не само тачности, потпуности и поузданости, већ и</w:t>
      </w:r>
      <w:r w:rsidR="004C514E" w:rsidRPr="006E4BB9">
        <w:t xml:space="preserve"> проверљивости</w:t>
      </w:r>
      <w:r w:rsidRPr="006E4BB9">
        <w:t xml:space="preserve"> података. Поступак верификације омогућава надлежном органу да процени тачност, потпуност и поузданост </w:t>
      </w:r>
      <w:r w:rsidR="004C514E" w:rsidRPr="006E4BB9">
        <w:t>пренесених података и ове информације треба пружити примаоцу. Тачност, потпуност и поузданост се односе на квалитет података, док се проверљивост односе на поступак потврђивања чињеница и других околности</w:t>
      </w:r>
      <w:r w:rsidR="00904ABF" w:rsidRPr="006E4BB9">
        <w:t>,</w:t>
      </w:r>
      <w:r w:rsidR="004C514E" w:rsidRPr="006E4BB9">
        <w:t xml:space="preserve"> који омогућава процену квалитета података</w:t>
      </w:r>
      <w:r w:rsidR="00904ABF" w:rsidRPr="006E4BB9">
        <w:t xml:space="preserve">. </w:t>
      </w:r>
      <w:r w:rsidR="004C514E" w:rsidRPr="006E4BB9">
        <w:t>Прималац ће извршити процену тачности, потпуности и поузданости података, али не и њихове проверљивости</w:t>
      </w:r>
      <w:r w:rsidR="00904ABF" w:rsidRPr="006E4BB9">
        <w:t xml:space="preserve">. </w:t>
      </w:r>
    </w:p>
    <w:p w14:paraId="1281E6E2" w14:textId="77777777" w:rsidR="00904ABF" w:rsidRPr="006E4BB9" w:rsidRDefault="004C514E" w:rsidP="00904ABF">
      <w:pPr>
        <w:spacing w:before="120" w:after="0" w:line="240" w:lineRule="auto"/>
        <w:jc w:val="both"/>
      </w:pPr>
      <w:r w:rsidRPr="006E4BB9">
        <w:t xml:space="preserve">У ставу </w:t>
      </w:r>
      <w:r w:rsidR="00904ABF" w:rsidRPr="006E4BB9">
        <w:t>4</w:t>
      </w:r>
      <w:r w:rsidRPr="006E4BB9">
        <w:t>. Закона се не предвиђају могућности</w:t>
      </w:r>
      <w:r w:rsidR="00904ABF" w:rsidRPr="006E4BB9">
        <w:t>/</w:t>
      </w:r>
      <w:r w:rsidRPr="006E4BB9">
        <w:t xml:space="preserve">ситуације у којима се догоди да су пренети подаци били нетачни или незаконито пренети. </w:t>
      </w:r>
      <w:r w:rsidR="00FF5A82" w:rsidRPr="006E4BB9">
        <w:t>То би мог</w:t>
      </w:r>
      <w:r w:rsidR="00D748E6">
        <w:t>а</w:t>
      </w:r>
      <w:r w:rsidR="00FF5A82" w:rsidRPr="006E4BB9">
        <w:t>о уоч</w:t>
      </w:r>
      <w:r w:rsidR="00D748E6">
        <w:t>ити</w:t>
      </w:r>
      <w:r w:rsidR="00FF5A82" w:rsidRPr="006E4BB9">
        <w:t xml:space="preserve"> </w:t>
      </w:r>
      <w:r w:rsidR="00D748E6">
        <w:t>руковалац</w:t>
      </w:r>
      <w:r w:rsidR="00FF5A82" w:rsidRPr="006E4BB9">
        <w:t>, прима</w:t>
      </w:r>
      <w:r w:rsidR="00D748E6">
        <w:t>ла</w:t>
      </w:r>
      <w:r w:rsidR="00FF5A82" w:rsidRPr="006E4BB9">
        <w:t>ц</w:t>
      </w:r>
      <w:r w:rsidR="00D748E6">
        <w:t>, корисник</w:t>
      </w:r>
      <w:r w:rsidR="00FF5A82" w:rsidRPr="006E4BB9">
        <w:t>, Повереник</w:t>
      </w:r>
      <w:r w:rsidR="00D748E6">
        <w:t xml:space="preserve"> или неко</w:t>
      </w:r>
      <w:r w:rsidR="00FF5A82" w:rsidRPr="006E4BB9">
        <w:t xml:space="preserve"> друго укључено лиц</w:t>
      </w:r>
      <w:r w:rsidR="00D748E6">
        <w:t>е</w:t>
      </w:r>
      <w:r w:rsidR="00904ABF" w:rsidRPr="006E4BB9">
        <w:t xml:space="preserve">. </w:t>
      </w:r>
    </w:p>
    <w:p w14:paraId="1C831A43" w14:textId="77777777" w:rsidR="00904ABF" w:rsidRPr="006E4BB9" w:rsidRDefault="00FF5A82" w:rsidP="00904ABF">
      <w:pPr>
        <w:spacing w:before="120" w:after="0" w:line="240" w:lineRule="auto"/>
        <w:jc w:val="both"/>
      </w:pPr>
      <w:r w:rsidRPr="006E4BB9">
        <w:t>Осим тога, Законом је уређена ова ситуација</w:t>
      </w:r>
      <w:r w:rsidR="00904ABF" w:rsidRPr="006E4BB9">
        <w:t xml:space="preserve"> (</w:t>
      </w:r>
      <w:r w:rsidRPr="006E4BB9">
        <w:t>када су пренети нетачни подаци или када је пренос незаконит</w:t>
      </w:r>
      <w:r w:rsidR="00904ABF" w:rsidRPr="006E4BB9">
        <w:t xml:space="preserve">) </w:t>
      </w:r>
      <w:r w:rsidRPr="006E4BB9">
        <w:t>само када су подаци пренети надлежном органу</w:t>
      </w:r>
      <w:r w:rsidR="00904ABF" w:rsidRPr="006E4BB9">
        <w:t xml:space="preserve">. </w:t>
      </w:r>
      <w:r w:rsidRPr="006E4BB9">
        <w:t xml:space="preserve">Закон не уређује преношење </w:t>
      </w:r>
      <w:r w:rsidR="00D748E6">
        <w:t xml:space="preserve">података </w:t>
      </w:r>
      <w:r w:rsidRPr="006E4BB9">
        <w:t>другим могућим примаоцима</w:t>
      </w:r>
      <w:r w:rsidR="00904ABF" w:rsidRPr="006E4BB9">
        <w:t xml:space="preserve">. </w:t>
      </w:r>
      <w:r w:rsidRPr="006E4BB9">
        <w:t>У сваком случају, све примаоце треба обавестити о таквој врсти преноса, а не само надлежни орган. Ми стога саветујемо да Закон буде измењен на тај начин.</w:t>
      </w:r>
    </w:p>
    <w:p w14:paraId="6C932B9E" w14:textId="77777777" w:rsidR="00904ABF" w:rsidRPr="006E4BB9" w:rsidRDefault="00FF5A82" w:rsidP="00904ABF">
      <w:pPr>
        <w:spacing w:before="120" w:after="0" w:line="240" w:lineRule="auto"/>
        <w:jc w:val="both"/>
        <w:rPr>
          <w:b/>
          <w:bCs/>
        </w:rPr>
      </w:pPr>
      <w:r w:rsidRPr="006E4BB9">
        <w:rPr>
          <w:b/>
          <w:bCs/>
        </w:rPr>
        <w:t>Члан</w:t>
      </w:r>
      <w:r w:rsidR="00904ABF" w:rsidRPr="006E4BB9">
        <w:rPr>
          <w:b/>
          <w:bCs/>
        </w:rPr>
        <w:t xml:space="preserve"> 15:</w:t>
      </w:r>
    </w:p>
    <w:p w14:paraId="64FD3DD7" w14:textId="77777777" w:rsidR="00904ABF" w:rsidRPr="006E4BB9" w:rsidRDefault="00FF5A82" w:rsidP="00904ABF">
      <w:pPr>
        <w:spacing w:before="120" w:after="0" w:line="240" w:lineRule="auto"/>
        <w:jc w:val="both"/>
      </w:pPr>
      <w:r w:rsidRPr="006E4BB9">
        <w:t xml:space="preserve">У ставу </w:t>
      </w:r>
      <w:r w:rsidR="00904ABF" w:rsidRPr="006E4BB9">
        <w:t>4</w:t>
      </w:r>
      <w:r w:rsidRPr="006E4BB9">
        <w:t>. је</w:t>
      </w:r>
      <w:r w:rsidR="00904ABF" w:rsidRPr="006E4BB9">
        <w:t xml:space="preserve"> </w:t>
      </w:r>
      <w:r w:rsidRPr="006E4BB9">
        <w:t>предвиђено да процену да ли је пристанак слободно дат</w:t>
      </w:r>
      <w:r w:rsidR="00904ABF" w:rsidRPr="006E4BB9">
        <w:t xml:space="preserve">, </w:t>
      </w:r>
      <w:r w:rsidRPr="006E4BB9">
        <w:t>„</w:t>
      </w:r>
      <w:r w:rsidR="00602D66" w:rsidRPr="006E4BB9">
        <w:rPr>
          <w:i/>
        </w:rPr>
        <w:t>посебно се мора водити рачуна о томе да ли се извршење уговора, укључујући и пружање услуга, условљава давањем пристанка на обраду података о личности који није неопходан за извршење тог уговора</w:t>
      </w:r>
      <w:r w:rsidR="00904ABF" w:rsidRPr="006E4BB9">
        <w:t>.</w:t>
      </w:r>
      <w:r w:rsidR="00602D66" w:rsidRPr="006E4BB9">
        <w:t>“</w:t>
      </w:r>
      <w:r w:rsidR="00904ABF" w:rsidRPr="006E4BB9">
        <w:t xml:space="preserve"> </w:t>
      </w:r>
      <w:r w:rsidR="00602D66" w:rsidRPr="006E4BB9">
        <w:t>Дефинитивно треба обратити посебну пажњу на те</w:t>
      </w:r>
      <w:r w:rsidR="00392255" w:rsidRPr="006E4BB9">
        <w:t xml:space="preserve"> критеријуме и ово је најважнији</w:t>
      </w:r>
      <w:r w:rsidR="00602D66" w:rsidRPr="006E4BB9">
        <w:t xml:space="preserve">, </w:t>
      </w:r>
      <w:r w:rsidR="00392255" w:rsidRPr="006E4BB9">
        <w:t>али ипак не и једини критеријум који треба или који би се могао узети у обзир. Постојећа формулација б</w:t>
      </w:r>
      <w:r w:rsidR="009B3CBB">
        <w:t>и могла навести руковаоце</w:t>
      </w:r>
      <w:r w:rsidR="000E0A67">
        <w:t xml:space="preserve"> или обрађиваче</w:t>
      </w:r>
      <w:r w:rsidR="00392255" w:rsidRPr="006E4BB9">
        <w:t xml:space="preserve"> на погрешан закључак, када процењују пристанак који је једини критеријум који се мора узети у обзир. Стога би решење из члана 7. став 4. </w:t>
      </w:r>
      <w:r w:rsidR="00CA510A" w:rsidRPr="006E4BB9">
        <w:rPr>
          <w:i/>
        </w:rPr>
        <w:t>GDPR</w:t>
      </w:r>
      <w:r w:rsidR="00904ABF" w:rsidRPr="006E4BB9">
        <w:t xml:space="preserve">  (</w:t>
      </w:r>
      <w:r w:rsidR="00392255" w:rsidRPr="006E4BB9">
        <w:t>„између остало</w:t>
      </w:r>
      <w:r w:rsidR="00D748E6">
        <w:t>г</w:t>
      </w:r>
      <w:r w:rsidR="00392255" w:rsidRPr="006E4BB9">
        <w:t>“) било примереније</w:t>
      </w:r>
      <w:r w:rsidR="00904ABF" w:rsidRPr="006E4BB9">
        <w:t>.</w:t>
      </w:r>
    </w:p>
    <w:p w14:paraId="623A3B3E" w14:textId="77777777" w:rsidR="00904ABF" w:rsidRPr="006E4BB9" w:rsidRDefault="00392255" w:rsidP="00904ABF">
      <w:pPr>
        <w:spacing w:before="120" w:after="0" w:line="240" w:lineRule="auto"/>
        <w:jc w:val="both"/>
        <w:rPr>
          <w:b/>
          <w:bCs/>
        </w:rPr>
      </w:pPr>
      <w:r w:rsidRPr="006E4BB9">
        <w:rPr>
          <w:b/>
          <w:bCs/>
        </w:rPr>
        <w:t>Члан</w:t>
      </w:r>
      <w:r w:rsidR="00904ABF" w:rsidRPr="006E4BB9">
        <w:rPr>
          <w:b/>
          <w:bCs/>
        </w:rPr>
        <w:t xml:space="preserve"> 16:</w:t>
      </w:r>
    </w:p>
    <w:p w14:paraId="6EFFA711" w14:textId="1F9F0B0F" w:rsidR="00904ABF" w:rsidRPr="006E4BB9" w:rsidRDefault="00392255" w:rsidP="00EB0AFA">
      <w:pPr>
        <w:spacing w:before="160"/>
        <w:jc w:val="both"/>
        <w:rPr>
          <w:b/>
          <w:bCs/>
        </w:rPr>
      </w:pPr>
      <w:r w:rsidRPr="006E4BB9">
        <w:t>Став 2. је</w:t>
      </w:r>
      <w:r w:rsidR="00904ABF" w:rsidRPr="006E4BB9">
        <w:t xml:space="preserve"> </w:t>
      </w:r>
      <w:r w:rsidRPr="006E4BB9">
        <w:t xml:space="preserve">помало нејасан када се њиме предвиђа да пристанак </w:t>
      </w:r>
      <w:r w:rsidR="00AF7B8B">
        <w:rPr>
          <w:lang w:val="sr-Cyrl-RS"/>
        </w:rPr>
        <w:t>мора дати</w:t>
      </w:r>
      <w:r w:rsidRPr="006E4BB9">
        <w:t xml:space="preserve"> „</w:t>
      </w:r>
      <w:r w:rsidR="00AF7B8B">
        <w:rPr>
          <w:lang w:val="sr-Cyrl-RS"/>
        </w:rPr>
        <w:t xml:space="preserve">родитељ </w:t>
      </w:r>
      <w:r w:rsidRPr="006E4BB9">
        <w:t>који врши родитељск</w:t>
      </w:r>
      <w:r w:rsidR="00AF7B8B">
        <w:rPr>
          <w:lang w:val="sr-Cyrl-RS"/>
        </w:rPr>
        <w:t>о</w:t>
      </w:r>
      <w:r w:rsidRPr="006E4BB9">
        <w:t xml:space="preserve"> </w:t>
      </w:r>
      <w:r w:rsidR="00AF7B8B" w:rsidRPr="006E4BB9">
        <w:t>прав</w:t>
      </w:r>
      <w:r w:rsidR="00AF7B8B">
        <w:rPr>
          <w:lang w:val="sr-Cyrl-RS"/>
        </w:rPr>
        <w:t>о</w:t>
      </w:r>
      <w:r w:rsidRPr="006E4BB9">
        <w:t>“ или законски овлашћених носилаца родитељске одговорности. Да ли то нарочито обухвата ситуације у којима је један од родитеља изгубио своја родитељска права? Ако то није случај, да ли то значи да</w:t>
      </w:r>
      <w:r w:rsidR="00CF4404" w:rsidRPr="006E4BB9">
        <w:t xml:space="preserve"> је</w:t>
      </w:r>
      <w:r w:rsidRPr="006E4BB9">
        <w:t>, у случају да оба родитеља заједнички врше родитељска права</w:t>
      </w:r>
      <w:r w:rsidR="00904ABF" w:rsidRPr="006E4BB9">
        <w:t>,</w:t>
      </w:r>
      <w:r w:rsidR="00CF4404" w:rsidRPr="006E4BB9">
        <w:t xml:space="preserve"> такав пристанак довољан од једног од њих или да је сагласност оба родитеља обавезна</w:t>
      </w:r>
      <w:r w:rsidR="00D05F02" w:rsidRPr="006E4BB9">
        <w:t xml:space="preserve">? </w:t>
      </w:r>
      <w:r w:rsidR="00CF4404" w:rsidRPr="006E4BB9">
        <w:t>То треба размотрити из перспективе националних правних прописа којима се уређује родитељска одговорност</w:t>
      </w:r>
      <w:r w:rsidR="006D4508" w:rsidRPr="006E4BB9">
        <w:t>,</w:t>
      </w:r>
      <w:r w:rsidR="00CF4404" w:rsidRPr="006E4BB9">
        <w:t xml:space="preserve"> да ли су начин на који је срочен</w:t>
      </w:r>
      <w:r w:rsidR="006F1C89">
        <w:t xml:space="preserve"> овај члан</w:t>
      </w:r>
      <w:r w:rsidR="00CF4404" w:rsidRPr="006E4BB9">
        <w:t xml:space="preserve"> и формулација овог члана у складу са тим правним прописима и да ли он у довољној мери одговара на питање о томе ко у појединачном случају треба да </w:t>
      </w:r>
      <w:r w:rsidR="006F1C89">
        <w:t>да</w:t>
      </w:r>
      <w:r w:rsidR="00CF4404" w:rsidRPr="006E4BB9">
        <w:t xml:space="preserve"> овај пристанак (један или оба родитеља</w:t>
      </w:r>
      <w:r w:rsidR="00A0426F" w:rsidRPr="006E4BB9">
        <w:t>)</w:t>
      </w:r>
      <w:r w:rsidR="006D4508" w:rsidRPr="006E4BB9">
        <w:t>.</w:t>
      </w:r>
      <w:r w:rsidR="009421D3" w:rsidRPr="006E4BB9">
        <w:t xml:space="preserve"> </w:t>
      </w:r>
    </w:p>
    <w:p w14:paraId="60B92671" w14:textId="77777777" w:rsidR="00904ABF" w:rsidRPr="006E4BB9" w:rsidRDefault="00CF4404" w:rsidP="00904ABF">
      <w:pPr>
        <w:spacing w:before="120" w:after="0" w:line="240" w:lineRule="auto"/>
        <w:jc w:val="both"/>
        <w:rPr>
          <w:b/>
          <w:bCs/>
        </w:rPr>
      </w:pPr>
      <w:r w:rsidRPr="006E4BB9">
        <w:rPr>
          <w:b/>
          <w:bCs/>
        </w:rPr>
        <w:t>Члан</w:t>
      </w:r>
      <w:r w:rsidR="00904ABF" w:rsidRPr="006E4BB9">
        <w:rPr>
          <w:b/>
          <w:bCs/>
        </w:rPr>
        <w:t xml:space="preserve"> 17:</w:t>
      </w:r>
    </w:p>
    <w:p w14:paraId="3A04B337" w14:textId="5F8D361C" w:rsidR="00904ABF" w:rsidRPr="006E4BB9" w:rsidRDefault="00AF7B8B" w:rsidP="00EB0AFA">
      <w:pPr>
        <w:spacing w:before="160"/>
        <w:jc w:val="both"/>
        <w:rPr>
          <w:b/>
          <w:bCs/>
        </w:rPr>
      </w:pPr>
      <w:r>
        <w:rPr>
          <w:lang w:val="sr-Cyrl-RS"/>
        </w:rPr>
        <w:lastRenderedPageBreak/>
        <w:t>Сугеришемо да</w:t>
      </w:r>
      <w:r w:rsidRPr="006E4BB9">
        <w:t xml:space="preserve"> </w:t>
      </w:r>
      <w:r>
        <w:rPr>
          <w:lang w:val="sr-Cyrl-RS"/>
        </w:rPr>
        <w:t xml:space="preserve">се у </w:t>
      </w:r>
      <w:r w:rsidR="00CF4404" w:rsidRPr="006E4BB9">
        <w:t xml:space="preserve">ставу </w:t>
      </w:r>
      <w:r w:rsidR="00904ABF" w:rsidRPr="006E4BB9">
        <w:t>2</w:t>
      </w:r>
      <w:r w:rsidR="00CF4404" w:rsidRPr="006E4BB9">
        <w:t xml:space="preserve">. </w:t>
      </w:r>
      <w:r w:rsidR="00793841">
        <w:rPr>
          <w:lang w:val="sr-Cyrl-RS"/>
        </w:rPr>
        <w:t>тачка</w:t>
      </w:r>
      <w:r w:rsidR="00793841" w:rsidRPr="006E4BB9">
        <w:t xml:space="preserve"> </w:t>
      </w:r>
      <w:r w:rsidR="00CF4404" w:rsidRPr="006E4BB9">
        <w:t>3)</w:t>
      </w:r>
      <w:r w:rsidRPr="006E4BB9" w:rsidDel="00AF7B8B">
        <w:t xml:space="preserve"> </w:t>
      </w:r>
      <w:r w:rsidR="00CF4404" w:rsidRPr="006E4BB9">
        <w:t>бриш</w:t>
      </w:r>
      <w:r>
        <w:rPr>
          <w:lang w:val="sr-Cyrl-RS"/>
        </w:rPr>
        <w:t>у речи</w:t>
      </w:r>
      <w:r w:rsidR="00CF4404" w:rsidRPr="006E4BB9">
        <w:t xml:space="preserve"> „због не</w:t>
      </w:r>
      <w:r w:rsidR="006F1C89">
        <w:t>постојања</w:t>
      </w:r>
      <w:r w:rsidR="00CF4404" w:rsidRPr="006E4BB9">
        <w:t xml:space="preserve"> правне способности</w:t>
      </w:r>
      <w:r w:rsidR="00F71C26" w:rsidRPr="006E4BB9">
        <w:t>“</w:t>
      </w:r>
      <w:r w:rsidR="00CF4404" w:rsidRPr="006E4BB9">
        <w:t xml:space="preserve">. Обрада посебних категорија података о личности треба да буде омогућена у складу са овом </w:t>
      </w:r>
      <w:r w:rsidR="00793841">
        <w:rPr>
          <w:lang w:val="sr-Cyrl-RS"/>
        </w:rPr>
        <w:t>тачком</w:t>
      </w:r>
      <w:r w:rsidR="00793841" w:rsidRPr="006E4BB9">
        <w:t xml:space="preserve"> </w:t>
      </w:r>
      <w:r w:rsidR="00904ABF" w:rsidRPr="006E4BB9">
        <w:t xml:space="preserve">(3) </w:t>
      </w:r>
      <w:r w:rsidR="00F71C26" w:rsidRPr="006E4BB9">
        <w:t xml:space="preserve">ако </w:t>
      </w:r>
      <w:r w:rsidR="00CF4404" w:rsidRPr="006E4BB9">
        <w:t xml:space="preserve">лице на које се подаци односе физички </w:t>
      </w:r>
      <w:r w:rsidR="00CF4404" w:rsidRPr="006E4BB9">
        <w:rPr>
          <w:b/>
        </w:rPr>
        <w:t>или</w:t>
      </w:r>
      <w:r w:rsidR="00CF4404" w:rsidRPr="006E4BB9">
        <w:t xml:space="preserve"> правно </w:t>
      </w:r>
      <w:r w:rsidR="00F71C26" w:rsidRPr="006E4BB9">
        <w:t xml:space="preserve">није </w:t>
      </w:r>
      <w:r w:rsidR="00CF4404" w:rsidRPr="006E4BB9">
        <w:t>способно да да сагласност</w:t>
      </w:r>
      <w:r w:rsidR="00904ABF" w:rsidRPr="006E4BB9">
        <w:t xml:space="preserve">. </w:t>
      </w:r>
      <w:r w:rsidR="00F71C26" w:rsidRPr="006E4BB9">
        <w:t>Обе могућности неспособности</w:t>
      </w:r>
      <w:r w:rsidR="00904ABF" w:rsidRPr="006E4BB9">
        <w:t xml:space="preserve"> (</w:t>
      </w:r>
      <w:r w:rsidR="00F71C26" w:rsidRPr="006E4BB9">
        <w:t>и физичка и правна</w:t>
      </w:r>
      <w:r w:rsidR="00904ABF" w:rsidRPr="006E4BB9">
        <w:t xml:space="preserve">) </w:t>
      </w:r>
      <w:r w:rsidR="00F71C26" w:rsidRPr="006E4BB9">
        <w:t>су укључене</w:t>
      </w:r>
      <w:r w:rsidR="00904ABF" w:rsidRPr="006E4BB9">
        <w:t xml:space="preserve">. </w:t>
      </w:r>
      <w:r w:rsidR="00F71C26" w:rsidRPr="006E4BB9">
        <w:t>Лице на које се подаци односе би могло бити правно способно да да сагласност, али физички неспособно да то уради</w:t>
      </w:r>
      <w:r w:rsidR="00904ABF" w:rsidRPr="006E4BB9">
        <w:t xml:space="preserve">. </w:t>
      </w:r>
      <w:r w:rsidR="009421D3" w:rsidRPr="006E4BB9">
        <w:rPr>
          <w:b/>
          <w:bCs/>
        </w:rPr>
        <w:t xml:space="preserve"> </w:t>
      </w:r>
      <w:r w:rsidR="007A0156" w:rsidRPr="006E4BB9">
        <w:rPr>
          <w:b/>
          <w:bCs/>
        </w:rPr>
        <w:t>МО</w:t>
      </w:r>
      <w:r w:rsidR="007A0156">
        <w:rPr>
          <w:b/>
          <w:bCs/>
        </w:rPr>
        <w:t xml:space="preserve">ГУЋЕ ЈЕ </w:t>
      </w:r>
      <w:r w:rsidR="007A0156" w:rsidRPr="006E4BB9">
        <w:rPr>
          <w:b/>
          <w:bCs/>
        </w:rPr>
        <w:t>ДА ПОСТОЈИ НЕДОСЛЕДНОСТ У ПРЕВОДУ У ПОГЛЕДУ ОВОГ КОМЕНТАРА</w:t>
      </w:r>
      <w:r w:rsidR="00E7302F">
        <w:rPr>
          <w:b/>
          <w:bCs/>
          <w:lang w:val="sr-Cyrl-RS"/>
        </w:rPr>
        <w:t>. (</w:t>
      </w:r>
      <w:r w:rsidR="00E7302F" w:rsidRPr="00E7302F">
        <w:rPr>
          <w:b/>
          <w:bCs/>
          <w:i/>
          <w:lang w:val="sr-Cyrl-RS"/>
        </w:rPr>
        <w:t xml:space="preserve">Напомена Повереника – </w:t>
      </w:r>
      <w:r w:rsidR="00E7302F">
        <w:rPr>
          <w:b/>
          <w:bCs/>
          <w:i/>
          <w:lang w:val="sr-Cyrl-RS"/>
        </w:rPr>
        <w:t xml:space="preserve">ова </w:t>
      </w:r>
      <w:r w:rsidR="00E7302F" w:rsidRPr="00E7302F">
        <w:rPr>
          <w:b/>
          <w:bCs/>
          <w:i/>
          <w:lang w:val="sr-Cyrl-RS"/>
        </w:rPr>
        <w:t xml:space="preserve">велика, </w:t>
      </w:r>
      <w:proofErr w:type="spellStart"/>
      <w:r w:rsidR="00E7302F" w:rsidRPr="00E7302F">
        <w:rPr>
          <w:b/>
          <w:bCs/>
          <w:i/>
          <w:lang w:val="sr-Cyrl-RS"/>
        </w:rPr>
        <w:t>болдована</w:t>
      </w:r>
      <w:proofErr w:type="spellEnd"/>
      <w:r w:rsidR="00E7302F" w:rsidRPr="00E7302F">
        <w:rPr>
          <w:b/>
          <w:bCs/>
          <w:i/>
          <w:lang w:val="sr-Cyrl-RS"/>
        </w:rPr>
        <w:t xml:space="preserve"> слова су унета од стране аутора овог документа</w:t>
      </w:r>
      <w:r w:rsidR="00E7302F">
        <w:rPr>
          <w:b/>
          <w:bCs/>
          <w:lang w:val="sr-Cyrl-RS"/>
        </w:rPr>
        <w:t>)</w:t>
      </w:r>
      <w:r w:rsidR="009421D3" w:rsidRPr="006E4BB9">
        <w:rPr>
          <w:b/>
          <w:bCs/>
        </w:rPr>
        <w:t>.</w:t>
      </w:r>
    </w:p>
    <w:p w14:paraId="615C099D" w14:textId="77777777" w:rsidR="00904ABF" w:rsidRPr="006E4BB9" w:rsidRDefault="00F71C26" w:rsidP="00904ABF">
      <w:pPr>
        <w:spacing w:before="120" w:after="0" w:line="240" w:lineRule="auto"/>
        <w:jc w:val="both"/>
        <w:rPr>
          <w:b/>
          <w:bCs/>
        </w:rPr>
      </w:pPr>
      <w:r w:rsidRPr="006E4BB9">
        <w:rPr>
          <w:b/>
          <w:bCs/>
        </w:rPr>
        <w:t xml:space="preserve">Члан </w:t>
      </w:r>
      <w:r w:rsidR="00904ABF" w:rsidRPr="006E4BB9">
        <w:rPr>
          <w:b/>
          <w:bCs/>
        </w:rPr>
        <w:t>18:</w:t>
      </w:r>
    </w:p>
    <w:p w14:paraId="22E9B490" w14:textId="114CFE60" w:rsidR="00904ABF" w:rsidRPr="006E4BB9" w:rsidRDefault="00F71C26" w:rsidP="00904ABF">
      <w:pPr>
        <w:spacing w:before="120" w:after="0" w:line="240" w:lineRule="auto"/>
        <w:jc w:val="both"/>
      </w:pPr>
      <w:r w:rsidRPr="006E4BB9">
        <w:t xml:space="preserve">У </w:t>
      </w:r>
      <w:r w:rsidR="00793841">
        <w:rPr>
          <w:lang w:val="sr-Cyrl-RS"/>
        </w:rPr>
        <w:t>тачки</w:t>
      </w:r>
      <w:r w:rsidR="00793841" w:rsidRPr="006E4BB9">
        <w:t xml:space="preserve"> </w:t>
      </w:r>
      <w:r w:rsidR="00904ABF" w:rsidRPr="006E4BB9">
        <w:t xml:space="preserve">3) </w:t>
      </w:r>
      <w:r w:rsidRPr="006E4BB9">
        <w:t xml:space="preserve">је предвиђено да је обрада посебних категорија података о личности </w:t>
      </w:r>
      <w:r w:rsidR="00377CF1">
        <w:rPr>
          <w:lang w:val="sr-Cyrl-RS"/>
        </w:rPr>
        <w:t>допуштена</w:t>
      </w:r>
      <w:r w:rsidR="00377CF1" w:rsidRPr="006E4BB9">
        <w:t xml:space="preserve"> </w:t>
      </w:r>
      <w:r w:rsidRPr="006E4BB9">
        <w:t xml:space="preserve">када се обрада односи на посебне категорије података </w:t>
      </w:r>
      <w:r w:rsidR="00DF7ACE">
        <w:rPr>
          <w:lang w:val="sr-Cyrl-RS"/>
        </w:rPr>
        <w:t>које је лице на које се они односе очигледно учинило доступним</w:t>
      </w:r>
      <w:r w:rsidRPr="006E4BB9">
        <w:t>. Овај члан по себи уређује обраду посебних категорија података о личности</w:t>
      </w:r>
      <w:r w:rsidR="00904ABF" w:rsidRPr="006E4BB9">
        <w:t>.</w:t>
      </w:r>
      <w:r w:rsidRPr="006E4BB9">
        <w:t xml:space="preserve"> Стога је упитно због чега </w:t>
      </w:r>
      <w:r w:rsidR="00793841">
        <w:rPr>
          <w:lang w:val="sr-Cyrl-RS"/>
        </w:rPr>
        <w:t>тачка</w:t>
      </w:r>
      <w:r w:rsidR="00793841" w:rsidRPr="006E4BB9">
        <w:t xml:space="preserve"> </w:t>
      </w:r>
      <w:r w:rsidR="00904ABF" w:rsidRPr="006E4BB9">
        <w:t xml:space="preserve">3) </w:t>
      </w:r>
      <w:r w:rsidRPr="006E4BB9">
        <w:t xml:space="preserve">садржи израз „посебне </w:t>
      </w:r>
      <w:r w:rsidR="00DF7ACE">
        <w:rPr>
          <w:lang w:val="sr-Cyrl-RS"/>
        </w:rPr>
        <w:t>в</w:t>
      </w:r>
      <w:r w:rsidR="00DF7ACE" w:rsidRPr="006E4BB9">
        <w:t xml:space="preserve"> </w:t>
      </w:r>
      <w:r w:rsidRPr="006E4BB9">
        <w:t>података“? Ако се то односи на посебне категорије, овај додатак није потребан</w:t>
      </w:r>
      <w:r w:rsidR="00904ABF" w:rsidRPr="006E4BB9">
        <w:t xml:space="preserve">. </w:t>
      </w:r>
      <w:r w:rsidR="00D3428E" w:rsidRPr="006E4BB9">
        <w:t>Ако се то односи на посебне категорије у оквиру посебних категорија података о личности, онда треба додатно разрадити одредбу и јасно објаснити њено значење</w:t>
      </w:r>
      <w:r w:rsidR="00904ABF" w:rsidRPr="006E4BB9">
        <w:t>.</w:t>
      </w:r>
    </w:p>
    <w:p w14:paraId="7AC0BAB2" w14:textId="7A1C833C" w:rsidR="00904ABF" w:rsidRPr="006E4BB9" w:rsidRDefault="00D3428E" w:rsidP="00EB0AFA">
      <w:pPr>
        <w:spacing w:before="160"/>
        <w:jc w:val="both"/>
        <w:rPr>
          <w:b/>
          <w:bCs/>
        </w:rPr>
      </w:pPr>
      <w:r w:rsidRPr="006E4BB9">
        <w:t>Мора се узети у обзир да обрада посебних категорија података о личности захтева још прецизније и чвршће оправдање од обраде других података о личности, а одредбе које то уређују треба да буду јасне и такве да се њима не оставља простор за дискреционо право или различита тумачења</w:t>
      </w:r>
      <w:r w:rsidR="00904ABF" w:rsidRPr="006E4BB9">
        <w:t xml:space="preserve">. </w:t>
      </w:r>
      <w:r w:rsidRPr="006E4BB9">
        <w:t>То осим тога укључује и јасноћу за лице на које се подаци односе које своје податке објављује</w:t>
      </w:r>
      <w:r w:rsidR="00904ABF" w:rsidRPr="006E4BB9">
        <w:t xml:space="preserve">. </w:t>
      </w:r>
      <w:r w:rsidRPr="006E4BB9">
        <w:t>Оно у тренутку када то ради мора бити свесно чињенице да ће ти подаци бити јавно доступни свима, укључујући надлежне органе</w:t>
      </w:r>
      <w:r w:rsidR="00904ABF" w:rsidRPr="006E4BB9">
        <w:t xml:space="preserve">. </w:t>
      </w:r>
      <w:r w:rsidR="009421D3" w:rsidRPr="006E4BB9">
        <w:rPr>
          <w:b/>
          <w:bCs/>
        </w:rPr>
        <w:t xml:space="preserve"> </w:t>
      </w:r>
      <w:r w:rsidR="00F71C26" w:rsidRPr="006E4BB9">
        <w:rPr>
          <w:b/>
          <w:bCs/>
        </w:rPr>
        <w:t>МО</w:t>
      </w:r>
      <w:r w:rsidR="007A0156">
        <w:rPr>
          <w:b/>
          <w:bCs/>
        </w:rPr>
        <w:t xml:space="preserve">ГУЋЕ ЈЕ </w:t>
      </w:r>
      <w:r w:rsidR="00F71C26" w:rsidRPr="006E4BB9">
        <w:rPr>
          <w:b/>
          <w:bCs/>
        </w:rPr>
        <w:t>ДА ПОСТОЈИ НЕДОСЛЕДНОСТ У ПРЕВОДУ У ПОГЛЕДУ ОВОГ КОМЕНТАРА</w:t>
      </w:r>
      <w:r w:rsidR="009421D3" w:rsidRPr="006E4BB9">
        <w:rPr>
          <w:b/>
          <w:bCs/>
        </w:rPr>
        <w:t>.</w:t>
      </w:r>
      <w:r w:rsidR="00E7302F" w:rsidRPr="00E7302F">
        <w:rPr>
          <w:b/>
          <w:bCs/>
          <w:lang w:val="sr-Cyrl-RS"/>
        </w:rPr>
        <w:t xml:space="preserve"> </w:t>
      </w:r>
      <w:r w:rsidR="00E7302F">
        <w:rPr>
          <w:b/>
          <w:bCs/>
          <w:lang w:val="sr-Cyrl-RS"/>
        </w:rPr>
        <w:t>(</w:t>
      </w:r>
      <w:r w:rsidR="00E7302F" w:rsidRPr="00E7302F">
        <w:rPr>
          <w:b/>
          <w:bCs/>
          <w:i/>
          <w:lang w:val="sr-Cyrl-RS"/>
        </w:rPr>
        <w:t xml:space="preserve">Напомена Повереника – </w:t>
      </w:r>
      <w:r w:rsidR="00E7302F">
        <w:rPr>
          <w:b/>
          <w:bCs/>
          <w:i/>
          <w:lang w:val="sr-Cyrl-RS"/>
        </w:rPr>
        <w:t xml:space="preserve">ова </w:t>
      </w:r>
      <w:r w:rsidR="00E7302F" w:rsidRPr="00E7302F">
        <w:rPr>
          <w:b/>
          <w:bCs/>
          <w:i/>
          <w:lang w:val="sr-Cyrl-RS"/>
        </w:rPr>
        <w:t xml:space="preserve">велика, </w:t>
      </w:r>
      <w:proofErr w:type="spellStart"/>
      <w:r w:rsidR="00E7302F" w:rsidRPr="00E7302F">
        <w:rPr>
          <w:b/>
          <w:bCs/>
          <w:i/>
          <w:lang w:val="sr-Cyrl-RS"/>
        </w:rPr>
        <w:t>болдована</w:t>
      </w:r>
      <w:proofErr w:type="spellEnd"/>
      <w:r w:rsidR="00E7302F" w:rsidRPr="00E7302F">
        <w:rPr>
          <w:b/>
          <w:bCs/>
          <w:i/>
          <w:lang w:val="sr-Cyrl-RS"/>
        </w:rPr>
        <w:t xml:space="preserve"> слова су унета од стране аутора овог документа</w:t>
      </w:r>
      <w:r w:rsidR="00E7302F">
        <w:rPr>
          <w:b/>
          <w:bCs/>
          <w:lang w:val="sr-Cyrl-RS"/>
        </w:rPr>
        <w:t>)</w:t>
      </w:r>
      <w:r w:rsidR="00E7302F" w:rsidRPr="006E4BB9">
        <w:rPr>
          <w:b/>
          <w:bCs/>
        </w:rPr>
        <w:t>.</w:t>
      </w:r>
    </w:p>
    <w:p w14:paraId="4EC73C51" w14:textId="77777777" w:rsidR="00904ABF" w:rsidRPr="006E4BB9" w:rsidRDefault="00F71C26" w:rsidP="00904ABF">
      <w:pPr>
        <w:spacing w:before="120" w:after="0" w:line="240" w:lineRule="auto"/>
        <w:jc w:val="both"/>
        <w:rPr>
          <w:b/>
          <w:bCs/>
        </w:rPr>
      </w:pPr>
      <w:r w:rsidRPr="006E4BB9">
        <w:rPr>
          <w:b/>
          <w:bCs/>
        </w:rPr>
        <w:t xml:space="preserve">Члан </w:t>
      </w:r>
      <w:r w:rsidR="00904ABF" w:rsidRPr="006E4BB9">
        <w:rPr>
          <w:b/>
          <w:bCs/>
        </w:rPr>
        <w:t>19:</w:t>
      </w:r>
    </w:p>
    <w:p w14:paraId="4C61E0CB" w14:textId="77777777" w:rsidR="00904ABF" w:rsidRPr="006E4BB9" w:rsidRDefault="00D3428E" w:rsidP="00904ABF">
      <w:pPr>
        <w:spacing w:before="120" w:after="0" w:line="240" w:lineRule="auto"/>
        <w:jc w:val="both"/>
      </w:pPr>
      <w:r w:rsidRPr="006E4BB9">
        <w:t xml:space="preserve">Став </w:t>
      </w:r>
      <w:r w:rsidR="00904ABF" w:rsidRPr="006E4BB9">
        <w:t>1</w:t>
      </w:r>
      <w:r w:rsidRPr="006E4BB9">
        <w:t>. се</w:t>
      </w:r>
      <w:r w:rsidR="00904ABF" w:rsidRPr="006E4BB9">
        <w:t xml:space="preserve"> </w:t>
      </w:r>
      <w:r w:rsidRPr="006E4BB9">
        <w:t>односи на податке о личности који се између осталог односе и на „мере</w:t>
      </w:r>
      <w:r w:rsidR="0021522C" w:rsidRPr="006E4BB9">
        <w:t xml:space="preserve"> безбедности</w:t>
      </w:r>
      <w:r w:rsidRPr="006E4BB9">
        <w:t xml:space="preserve">“. Из ове одредбе није јасно да ли </w:t>
      </w:r>
      <w:r w:rsidR="0021522C" w:rsidRPr="006E4BB9">
        <w:t xml:space="preserve">се </w:t>
      </w:r>
      <w:r w:rsidRPr="006E4BB9">
        <w:t>подаци о личности из „</w:t>
      </w:r>
      <w:r w:rsidR="001F5C9B" w:rsidRPr="006E4BB9">
        <w:t>мера</w:t>
      </w:r>
      <w:r w:rsidR="0021522C" w:rsidRPr="006E4BB9">
        <w:t xml:space="preserve"> безбедности</w:t>
      </w:r>
      <w:r w:rsidR="001F5C9B" w:rsidRPr="006E4BB9">
        <w:t>“ односе само на мере</w:t>
      </w:r>
      <w:r w:rsidR="0021522C" w:rsidRPr="006E4BB9">
        <w:t xml:space="preserve"> безбедности</w:t>
      </w:r>
      <w:r w:rsidR="001F5C9B" w:rsidRPr="006E4BB9">
        <w:t xml:space="preserve"> у погледу </w:t>
      </w:r>
      <w:r w:rsidR="0021522C" w:rsidRPr="006E4BB9">
        <w:t xml:space="preserve">кривичних </w:t>
      </w:r>
      <w:r w:rsidR="001F5C9B" w:rsidRPr="006E4BB9">
        <w:t>пресуда и кривичних дела или на мере</w:t>
      </w:r>
      <w:r w:rsidR="0021522C" w:rsidRPr="006E4BB9">
        <w:t xml:space="preserve"> безбедности</w:t>
      </w:r>
      <w:r w:rsidR="001F5C9B" w:rsidRPr="006E4BB9">
        <w:t xml:space="preserve"> за обраду података уопште. Сврха правних тековина ЕУ је да се посебан режим из овог члана примењује само на податке о личности који се односе на осуђујуће пресуде за кривична дела или на кривична дела</w:t>
      </w:r>
      <w:r w:rsidR="009000F7" w:rsidRPr="006E4BB9">
        <w:t>.</w:t>
      </w:r>
    </w:p>
    <w:p w14:paraId="61F99EC4" w14:textId="77777777" w:rsidR="00904ABF" w:rsidRPr="006E4BB9" w:rsidRDefault="0021522C" w:rsidP="00904ABF">
      <w:pPr>
        <w:spacing w:before="240" w:after="200" w:line="240" w:lineRule="auto"/>
        <w:jc w:val="both"/>
        <w:rPr>
          <w:b/>
          <w:bCs/>
        </w:rPr>
      </w:pPr>
      <w:r w:rsidRPr="006E4BB9">
        <w:rPr>
          <w:b/>
          <w:bCs/>
        </w:rPr>
        <w:t>III. ПРАВА ЛИЦА НА КОЈА СЕ ПОДАЦИ ОДНОСЕ</w:t>
      </w:r>
    </w:p>
    <w:p w14:paraId="404CA8EF" w14:textId="77777777" w:rsidR="00904ABF" w:rsidRPr="006E4BB9" w:rsidRDefault="0021522C" w:rsidP="00904ABF">
      <w:pPr>
        <w:spacing w:before="160"/>
        <w:jc w:val="both"/>
        <w:rPr>
          <w:b/>
          <w:bCs/>
        </w:rPr>
      </w:pPr>
      <w:r w:rsidRPr="006E4BB9">
        <w:rPr>
          <w:b/>
          <w:bCs/>
        </w:rPr>
        <w:t>Члан</w:t>
      </w:r>
      <w:r w:rsidR="00904ABF" w:rsidRPr="006E4BB9">
        <w:rPr>
          <w:b/>
          <w:bCs/>
        </w:rPr>
        <w:t xml:space="preserve"> 21:</w:t>
      </w:r>
    </w:p>
    <w:p w14:paraId="57F9A999" w14:textId="77777777" w:rsidR="00904ABF" w:rsidRPr="006E4BB9" w:rsidRDefault="005D029C" w:rsidP="00904ABF">
      <w:pPr>
        <w:spacing w:before="160"/>
        <w:jc w:val="both"/>
        <w:rPr>
          <w:bCs/>
        </w:rPr>
      </w:pPr>
      <w:r w:rsidRPr="006E4BB9">
        <w:rPr>
          <w:bCs/>
        </w:rPr>
        <w:t xml:space="preserve">У ставу </w:t>
      </w:r>
      <w:r w:rsidR="00904ABF" w:rsidRPr="006E4BB9">
        <w:rPr>
          <w:bCs/>
        </w:rPr>
        <w:t>9</w:t>
      </w:r>
      <w:r w:rsidRPr="006E4BB9">
        <w:rPr>
          <w:bCs/>
        </w:rPr>
        <w:t xml:space="preserve">. Закона се не пружа никакво упућивање </w:t>
      </w:r>
      <w:r w:rsidR="007750A2" w:rsidRPr="006E4BB9">
        <w:rPr>
          <w:bCs/>
        </w:rPr>
        <w:t>на процедуралне захтеве или пракс</w:t>
      </w:r>
      <w:r w:rsidRPr="006E4BB9">
        <w:rPr>
          <w:bCs/>
        </w:rPr>
        <w:t xml:space="preserve">у у вези са стандардизованим иконама у складу са захтевима из члана </w:t>
      </w:r>
      <w:r w:rsidR="00904ABF" w:rsidRPr="006E4BB9">
        <w:rPr>
          <w:bCs/>
        </w:rPr>
        <w:t>12</w:t>
      </w:r>
      <w:r w:rsidRPr="006E4BB9">
        <w:rPr>
          <w:bCs/>
        </w:rPr>
        <w:t>. став</w:t>
      </w:r>
      <w:r w:rsidR="00904ABF" w:rsidRPr="006E4BB9">
        <w:rPr>
          <w:bCs/>
        </w:rPr>
        <w:t xml:space="preserve"> (8) </w:t>
      </w:r>
      <w:r w:rsidR="00CA510A" w:rsidRPr="006E4BB9">
        <w:rPr>
          <w:bCs/>
          <w:i/>
        </w:rPr>
        <w:t>GDPR</w:t>
      </w:r>
      <w:r w:rsidRPr="006E4BB9">
        <w:rPr>
          <w:bCs/>
        </w:rPr>
        <w:t>. Такво упућивање на процедуралне захтеве или праксе ЕУ би могло допринети усклађеном приступу у овој области, којим би се олакшао слободан проток података</w:t>
      </w:r>
      <w:r w:rsidR="00904ABF" w:rsidRPr="006E4BB9">
        <w:rPr>
          <w:bCs/>
        </w:rPr>
        <w:t xml:space="preserve">. </w:t>
      </w:r>
    </w:p>
    <w:p w14:paraId="1FEC2515" w14:textId="51C76AF6" w:rsidR="00904ABF" w:rsidRPr="006E4BB9" w:rsidRDefault="001F5C9B" w:rsidP="00904ABF">
      <w:pPr>
        <w:spacing w:before="160"/>
        <w:jc w:val="both"/>
        <w:rPr>
          <w:bCs/>
        </w:rPr>
      </w:pPr>
      <w:r w:rsidRPr="006E4BB9">
        <w:rPr>
          <w:bCs/>
        </w:rPr>
        <w:t>За став</w:t>
      </w:r>
      <w:r w:rsidR="00904ABF" w:rsidRPr="006E4BB9">
        <w:rPr>
          <w:bCs/>
        </w:rPr>
        <w:t xml:space="preserve"> 10, </w:t>
      </w:r>
      <w:r w:rsidRPr="006E4BB9">
        <w:rPr>
          <w:bCs/>
        </w:rPr>
        <w:t xml:space="preserve">видите опште </w:t>
      </w:r>
      <w:r w:rsidR="00A4375C">
        <w:rPr>
          <w:bCs/>
        </w:rPr>
        <w:t>напомене</w:t>
      </w:r>
      <w:r w:rsidR="00A4375C" w:rsidRPr="006E4BB9">
        <w:rPr>
          <w:bCs/>
        </w:rPr>
        <w:t xml:space="preserve"> </w:t>
      </w:r>
      <w:r w:rsidRPr="006E4BB9">
        <w:rPr>
          <w:bCs/>
        </w:rPr>
        <w:t xml:space="preserve">које се односе на методологију за хармонизацију са </w:t>
      </w:r>
      <w:r w:rsidR="00CA510A" w:rsidRPr="006E4BB9">
        <w:rPr>
          <w:bCs/>
          <w:i/>
        </w:rPr>
        <w:t>LED</w:t>
      </w:r>
      <w:r w:rsidR="00904ABF" w:rsidRPr="006E4BB9">
        <w:rPr>
          <w:bCs/>
        </w:rPr>
        <w:t>.</w:t>
      </w:r>
    </w:p>
    <w:p w14:paraId="41574995" w14:textId="77777777" w:rsidR="00904ABF" w:rsidRPr="006E4BB9" w:rsidRDefault="001F5C9B" w:rsidP="00904ABF">
      <w:pPr>
        <w:spacing w:before="160"/>
        <w:jc w:val="both"/>
        <w:rPr>
          <w:bCs/>
        </w:rPr>
      </w:pPr>
      <w:r w:rsidRPr="006E4BB9">
        <w:rPr>
          <w:bCs/>
        </w:rPr>
        <w:t>Не постоји санкција за кршење овог члана</w:t>
      </w:r>
      <w:r w:rsidR="00904ABF" w:rsidRPr="006E4BB9">
        <w:rPr>
          <w:bCs/>
        </w:rPr>
        <w:t>.</w:t>
      </w:r>
      <w:r w:rsidRPr="006E4BB9">
        <w:rPr>
          <w:bCs/>
        </w:rPr>
        <w:t xml:space="preserve"> Према</w:t>
      </w:r>
      <w:r w:rsidR="00904ABF" w:rsidRPr="006E4BB9">
        <w:rPr>
          <w:bCs/>
        </w:rPr>
        <w:t xml:space="preserve"> </w:t>
      </w:r>
      <w:r w:rsidR="00CA510A" w:rsidRPr="006E4BB9">
        <w:rPr>
          <w:bCs/>
          <w:i/>
        </w:rPr>
        <w:t>GDPR</w:t>
      </w:r>
      <w:r w:rsidRPr="006E4BB9">
        <w:rPr>
          <w:bCs/>
        </w:rPr>
        <w:t xml:space="preserve">, казна за кршење члана </w:t>
      </w:r>
      <w:r w:rsidR="00904ABF" w:rsidRPr="006E4BB9">
        <w:rPr>
          <w:bCs/>
        </w:rPr>
        <w:t>12</w:t>
      </w:r>
      <w:r w:rsidRPr="006E4BB9">
        <w:rPr>
          <w:bCs/>
        </w:rPr>
        <w:t>.</w:t>
      </w:r>
      <w:r w:rsidR="00904ABF" w:rsidRPr="006E4BB9">
        <w:rPr>
          <w:bCs/>
        </w:rPr>
        <w:t xml:space="preserve"> </w:t>
      </w:r>
      <w:r w:rsidR="00CA510A" w:rsidRPr="006E4BB9">
        <w:rPr>
          <w:bCs/>
          <w:i/>
        </w:rPr>
        <w:t>GDPR</w:t>
      </w:r>
      <w:r w:rsidRPr="006E4BB9">
        <w:rPr>
          <w:bCs/>
        </w:rPr>
        <w:t xml:space="preserve"> је до </w:t>
      </w:r>
      <w:r w:rsidR="00904ABF" w:rsidRPr="006E4BB9">
        <w:rPr>
          <w:bCs/>
        </w:rPr>
        <w:t xml:space="preserve">20.000 </w:t>
      </w:r>
      <w:r w:rsidRPr="006E4BB9">
        <w:rPr>
          <w:bCs/>
        </w:rPr>
        <w:t>или</w:t>
      </w:r>
      <w:r w:rsidR="00904ABF" w:rsidRPr="006E4BB9">
        <w:rPr>
          <w:bCs/>
        </w:rPr>
        <w:t xml:space="preserve"> 4% o</w:t>
      </w:r>
      <w:r w:rsidRPr="006E4BB9">
        <w:rPr>
          <w:bCs/>
        </w:rPr>
        <w:t>д укупно оствареног промета у целом свету</w:t>
      </w:r>
      <w:r w:rsidR="00904ABF" w:rsidRPr="006E4BB9">
        <w:rPr>
          <w:bCs/>
        </w:rPr>
        <w:t xml:space="preserve"> (</w:t>
      </w:r>
      <w:r w:rsidRPr="006E4BB9">
        <w:rPr>
          <w:bCs/>
        </w:rPr>
        <w:t>кој</w:t>
      </w:r>
      <w:r w:rsidR="007750A2" w:rsidRPr="006E4BB9">
        <w:rPr>
          <w:bCs/>
        </w:rPr>
        <w:t>е</w:t>
      </w:r>
      <w:r w:rsidR="004D7BA6">
        <w:rPr>
          <w:bCs/>
        </w:rPr>
        <w:t xml:space="preserve"> </w:t>
      </w:r>
      <w:r w:rsidRPr="006E4BB9">
        <w:rPr>
          <w:bCs/>
        </w:rPr>
        <w:t>год да се</w:t>
      </w:r>
      <w:r w:rsidR="005D029C" w:rsidRPr="006E4BB9">
        <w:rPr>
          <w:bCs/>
        </w:rPr>
        <w:t xml:space="preserve"> сматра већим кршењем</w:t>
      </w:r>
      <w:r w:rsidR="00904ABF" w:rsidRPr="006E4BB9">
        <w:rPr>
          <w:bCs/>
        </w:rPr>
        <w:t xml:space="preserve">). </w:t>
      </w:r>
    </w:p>
    <w:p w14:paraId="4CAEA063" w14:textId="77777777" w:rsidR="00904ABF" w:rsidRPr="006E4BB9" w:rsidRDefault="007750A2" w:rsidP="00904ABF">
      <w:pPr>
        <w:spacing w:before="160"/>
        <w:jc w:val="both"/>
        <w:rPr>
          <w:b/>
          <w:bCs/>
        </w:rPr>
      </w:pPr>
      <w:r w:rsidRPr="006E4BB9">
        <w:rPr>
          <w:b/>
          <w:bCs/>
        </w:rPr>
        <w:t xml:space="preserve">Члан </w:t>
      </w:r>
      <w:r w:rsidR="00904ABF" w:rsidRPr="006E4BB9">
        <w:rPr>
          <w:b/>
          <w:bCs/>
        </w:rPr>
        <w:t>22:</w:t>
      </w:r>
    </w:p>
    <w:p w14:paraId="624BC5D6" w14:textId="77777777" w:rsidR="00904ABF" w:rsidRPr="006E4BB9" w:rsidRDefault="007750A2" w:rsidP="00904ABF">
      <w:r w:rsidRPr="006E4BB9">
        <w:t xml:space="preserve">Видети коментар на члан 29. у погледу права на исправку у складу са чланом </w:t>
      </w:r>
      <w:r w:rsidR="00904ABF" w:rsidRPr="006E4BB9">
        <w:t>16</w:t>
      </w:r>
      <w:r w:rsidRPr="006E4BB9">
        <w:t>. став</w:t>
      </w:r>
      <w:r w:rsidR="00904ABF" w:rsidRPr="006E4BB9">
        <w:t xml:space="preserve"> (1) </w:t>
      </w:r>
      <w:r w:rsidR="00CA510A" w:rsidRPr="006E4BB9">
        <w:rPr>
          <w:i/>
        </w:rPr>
        <w:t>LED</w:t>
      </w:r>
      <w:r w:rsidR="00904ABF" w:rsidRPr="006E4BB9">
        <w:t>.</w:t>
      </w:r>
    </w:p>
    <w:p w14:paraId="0FF194B6" w14:textId="77777777" w:rsidR="00904ABF" w:rsidRPr="006E4BB9" w:rsidRDefault="007750A2" w:rsidP="00904ABF">
      <w:r w:rsidRPr="006E4BB9">
        <w:lastRenderedPageBreak/>
        <w:t>Не постоји санкција за кршење овог члана и њу треба предвидети</w:t>
      </w:r>
      <w:r w:rsidR="00904ABF" w:rsidRPr="006E4BB9">
        <w:t xml:space="preserve">. </w:t>
      </w:r>
    </w:p>
    <w:p w14:paraId="41E2C828" w14:textId="77777777" w:rsidR="00904ABF" w:rsidRPr="006E4BB9" w:rsidRDefault="007750A2" w:rsidP="00904ABF">
      <w:pPr>
        <w:spacing w:before="160"/>
        <w:jc w:val="both"/>
        <w:rPr>
          <w:b/>
          <w:bCs/>
        </w:rPr>
      </w:pPr>
      <w:r w:rsidRPr="006E4BB9">
        <w:rPr>
          <w:b/>
          <w:bCs/>
        </w:rPr>
        <w:t>Члан</w:t>
      </w:r>
      <w:r w:rsidR="00904ABF" w:rsidRPr="006E4BB9">
        <w:rPr>
          <w:b/>
          <w:bCs/>
        </w:rPr>
        <w:t xml:space="preserve"> 25:</w:t>
      </w:r>
    </w:p>
    <w:p w14:paraId="34258FA8" w14:textId="6A5F4F84" w:rsidR="00904ABF" w:rsidRPr="006E4BB9" w:rsidRDefault="007750A2" w:rsidP="00904ABF">
      <w:pPr>
        <w:spacing w:before="160"/>
        <w:jc w:val="both"/>
        <w:rPr>
          <w:bCs/>
        </w:rPr>
      </w:pPr>
      <w:r w:rsidRPr="006E4BB9">
        <w:rPr>
          <w:bCs/>
        </w:rPr>
        <w:t>Формулација „закон</w:t>
      </w:r>
      <w:r w:rsidR="00904ABF" w:rsidRPr="006E4BB9">
        <w:rPr>
          <w:bCs/>
        </w:rPr>
        <w:t xml:space="preserve"> </w:t>
      </w:r>
      <w:r w:rsidRPr="006E4BB9">
        <w:rPr>
          <w:bCs/>
          <w:i/>
        </w:rPr>
        <w:t>може прописати“</w:t>
      </w:r>
      <w:r w:rsidRPr="006E4BB9">
        <w:rPr>
          <w:bCs/>
        </w:rPr>
        <w:t xml:space="preserve"> у ставу </w:t>
      </w:r>
      <w:r w:rsidR="00904ABF" w:rsidRPr="006E4BB9">
        <w:rPr>
          <w:bCs/>
        </w:rPr>
        <w:t>4</w:t>
      </w:r>
      <w:r w:rsidRPr="006E4BB9">
        <w:rPr>
          <w:bCs/>
        </w:rPr>
        <w:t>.</w:t>
      </w:r>
      <w:r w:rsidR="00904ABF" w:rsidRPr="006E4BB9">
        <w:rPr>
          <w:bCs/>
        </w:rPr>
        <w:t xml:space="preserve"> </w:t>
      </w:r>
      <w:r w:rsidRPr="006E4BB9">
        <w:rPr>
          <w:bCs/>
        </w:rPr>
        <w:t>није</w:t>
      </w:r>
      <w:r w:rsidR="00904ABF" w:rsidRPr="006E4BB9">
        <w:rPr>
          <w:bCs/>
        </w:rPr>
        <w:t xml:space="preserve"> </w:t>
      </w:r>
      <w:r w:rsidRPr="006E4BB9">
        <w:rPr>
          <w:bCs/>
        </w:rPr>
        <w:t>у складу са захтевима</w:t>
      </w:r>
      <w:r w:rsidR="00904ABF" w:rsidRPr="006E4BB9">
        <w:rPr>
          <w:bCs/>
        </w:rPr>
        <w:t xml:space="preserve"> </w:t>
      </w:r>
      <w:r w:rsidR="00CA510A" w:rsidRPr="006E4BB9">
        <w:rPr>
          <w:bCs/>
          <w:i/>
        </w:rPr>
        <w:t>GDPR</w:t>
      </w:r>
      <w:r w:rsidR="00904ABF" w:rsidRPr="006E4BB9">
        <w:rPr>
          <w:bCs/>
        </w:rPr>
        <w:t xml:space="preserve"> (</w:t>
      </w:r>
      <w:r w:rsidRPr="006E4BB9">
        <w:rPr>
          <w:bCs/>
        </w:rPr>
        <w:t xml:space="preserve">примерено би било „закон </w:t>
      </w:r>
      <w:r w:rsidRPr="006E4BB9">
        <w:rPr>
          <w:bCs/>
          <w:i/>
        </w:rPr>
        <w:t>прописује“</w:t>
      </w:r>
      <w:r w:rsidRPr="006E4BB9">
        <w:rPr>
          <w:bCs/>
        </w:rPr>
        <w:t xml:space="preserve">). Свако ограничавање права појединаца </w:t>
      </w:r>
      <w:r w:rsidR="00904ABF" w:rsidRPr="006E4BB9">
        <w:rPr>
          <w:bCs/>
        </w:rPr>
        <w:t>(</w:t>
      </w:r>
      <w:r w:rsidRPr="006E4BB9">
        <w:rPr>
          <w:bCs/>
        </w:rPr>
        <w:t>укључујући транспарентност обраде</w:t>
      </w:r>
      <w:r w:rsidR="00904ABF" w:rsidRPr="006E4BB9">
        <w:rPr>
          <w:bCs/>
        </w:rPr>
        <w:t xml:space="preserve">) </w:t>
      </w:r>
      <w:r w:rsidRPr="006E4BB9">
        <w:rPr>
          <w:bCs/>
          <w:u w:val="single"/>
        </w:rPr>
        <w:t>мора бити</w:t>
      </w:r>
      <w:r w:rsidRPr="006E4BB9">
        <w:rPr>
          <w:bCs/>
        </w:rPr>
        <w:t xml:space="preserve"> прописано законом</w:t>
      </w:r>
      <w:r w:rsidR="00904ABF" w:rsidRPr="006E4BB9">
        <w:rPr>
          <w:bCs/>
        </w:rPr>
        <w:t xml:space="preserve">. </w:t>
      </w:r>
      <w:r w:rsidRPr="006E4BB9">
        <w:rPr>
          <w:bCs/>
        </w:rPr>
        <w:t xml:space="preserve">Одредба члана </w:t>
      </w:r>
      <w:r w:rsidR="00904ABF" w:rsidRPr="006E4BB9">
        <w:rPr>
          <w:bCs/>
        </w:rPr>
        <w:t>13</w:t>
      </w:r>
      <w:r w:rsidRPr="006E4BB9">
        <w:rPr>
          <w:bCs/>
        </w:rPr>
        <w:t>. став</w:t>
      </w:r>
      <w:r w:rsidR="00904ABF" w:rsidRPr="006E4BB9">
        <w:rPr>
          <w:bCs/>
        </w:rPr>
        <w:t xml:space="preserve"> (3) </w:t>
      </w:r>
      <w:r w:rsidR="00CA510A" w:rsidRPr="006E4BB9">
        <w:rPr>
          <w:bCs/>
          <w:i/>
        </w:rPr>
        <w:t>LED</w:t>
      </w:r>
      <w:r w:rsidRPr="006E4BB9">
        <w:rPr>
          <w:bCs/>
        </w:rPr>
        <w:t xml:space="preserve"> </w:t>
      </w:r>
      <w:r w:rsidR="00E73229" w:rsidRPr="006E4BB9">
        <w:rPr>
          <w:bCs/>
        </w:rPr>
        <w:t>предвиђа</w:t>
      </w:r>
      <w:r w:rsidRPr="006E4BB9">
        <w:rPr>
          <w:bCs/>
        </w:rPr>
        <w:t>: „</w:t>
      </w:r>
      <w:r w:rsidRPr="006E4BB9">
        <w:rPr>
          <w:bCs/>
          <w:i/>
        </w:rPr>
        <w:t xml:space="preserve">Државе чланице могу усвојити </w:t>
      </w:r>
      <w:r w:rsidR="00904ABF" w:rsidRPr="006E4BB9">
        <w:rPr>
          <w:bCs/>
          <w:i/>
        </w:rPr>
        <w:t xml:space="preserve"> </w:t>
      </w:r>
      <w:r w:rsidRPr="006E4BB9">
        <w:rPr>
          <w:b/>
          <w:bCs/>
          <w:i/>
        </w:rPr>
        <w:t>законодавне мере</w:t>
      </w:r>
      <w:r w:rsidRPr="006E4BB9">
        <w:rPr>
          <w:bCs/>
          <w:i/>
        </w:rPr>
        <w:t xml:space="preserve"> којима се одлаже, ограничава или пропушта пружање информација лицу на које се подаци односе…“</w:t>
      </w:r>
      <w:r w:rsidR="00904ABF" w:rsidRPr="006E4BB9">
        <w:rPr>
          <w:bCs/>
          <w:i/>
        </w:rPr>
        <w:t xml:space="preserve">. </w:t>
      </w:r>
      <w:r w:rsidR="00E73229" w:rsidRPr="006E4BB9">
        <w:rPr>
          <w:bCs/>
        </w:rPr>
        <w:t xml:space="preserve">Реч </w:t>
      </w:r>
      <w:r w:rsidR="00E73229" w:rsidRPr="006E4BB9">
        <w:rPr>
          <w:bCs/>
          <w:i/>
        </w:rPr>
        <w:t>може</w:t>
      </w:r>
      <w:r w:rsidR="00E73229" w:rsidRPr="006E4BB9">
        <w:rPr>
          <w:bCs/>
        </w:rPr>
        <w:t xml:space="preserve"> у овој реченици се односи на могућност усвајања законодавних мера које одговарају одређеним условима утврђеним чланом </w:t>
      </w:r>
      <w:r w:rsidR="00904ABF" w:rsidRPr="006E4BB9">
        <w:rPr>
          <w:bCs/>
        </w:rPr>
        <w:t>13</w:t>
      </w:r>
      <w:r w:rsidR="00E73229" w:rsidRPr="006E4BB9">
        <w:rPr>
          <w:bCs/>
        </w:rPr>
        <w:t>. став</w:t>
      </w:r>
      <w:r w:rsidR="00904ABF" w:rsidRPr="006E4BB9">
        <w:rPr>
          <w:bCs/>
        </w:rPr>
        <w:t xml:space="preserve"> (3) </w:t>
      </w:r>
      <w:r w:rsidR="00CA510A" w:rsidRPr="006E4BB9">
        <w:rPr>
          <w:bCs/>
          <w:i/>
        </w:rPr>
        <w:t>LED</w:t>
      </w:r>
      <w:r w:rsidR="00E73229" w:rsidRPr="006E4BB9">
        <w:rPr>
          <w:bCs/>
        </w:rPr>
        <w:t>. Ако те мере нису прописане законом, онда ограничење права на информисање лица на која се подаци односе не би било прихватљиво</w:t>
      </w:r>
      <w:r w:rsidR="00904ABF" w:rsidRPr="006E4BB9">
        <w:rPr>
          <w:bCs/>
        </w:rPr>
        <w:t xml:space="preserve"> (</w:t>
      </w:r>
      <w:r w:rsidR="00E73229" w:rsidRPr="006E4BB9">
        <w:rPr>
          <w:bCs/>
        </w:rPr>
        <w:t xml:space="preserve">видети опште </w:t>
      </w:r>
      <w:r w:rsidR="00A4375C">
        <w:rPr>
          <w:bCs/>
        </w:rPr>
        <w:t>напомене</w:t>
      </w:r>
      <w:r w:rsidR="00904ABF" w:rsidRPr="006E4BB9">
        <w:rPr>
          <w:bCs/>
        </w:rPr>
        <w:t xml:space="preserve">). </w:t>
      </w:r>
    </w:p>
    <w:p w14:paraId="2004F3CE" w14:textId="77777777" w:rsidR="00904ABF" w:rsidRPr="006E4BB9" w:rsidRDefault="00E73229" w:rsidP="00904ABF">
      <w:pPr>
        <w:spacing w:before="160"/>
        <w:jc w:val="both"/>
        <w:rPr>
          <w:b/>
          <w:bCs/>
        </w:rPr>
      </w:pPr>
      <w:r w:rsidRPr="006E4BB9">
        <w:rPr>
          <w:b/>
          <w:bCs/>
        </w:rPr>
        <w:t>Члан</w:t>
      </w:r>
      <w:r w:rsidR="00904ABF" w:rsidRPr="006E4BB9">
        <w:rPr>
          <w:b/>
          <w:bCs/>
        </w:rPr>
        <w:t xml:space="preserve"> 28:</w:t>
      </w:r>
    </w:p>
    <w:p w14:paraId="7909DC28" w14:textId="77777777" w:rsidR="00904ABF" w:rsidRPr="006E4BB9" w:rsidRDefault="00E73229" w:rsidP="00904ABF">
      <w:pPr>
        <w:spacing w:before="160"/>
        <w:jc w:val="both"/>
        <w:rPr>
          <w:bCs/>
        </w:rPr>
      </w:pPr>
      <w:r w:rsidRPr="006E4BB9">
        <w:rPr>
          <w:bCs/>
        </w:rPr>
        <w:t xml:space="preserve">Наслов не одражава садржај овог члана, који се односи на право приступа подацима које обрађују „надлежни органи у посебне сврхе“. </w:t>
      </w:r>
    </w:p>
    <w:p w14:paraId="0A4FDED3" w14:textId="42FDA47B" w:rsidR="00904ABF" w:rsidRPr="006E4BB9" w:rsidRDefault="00E73229" w:rsidP="00904ABF">
      <w:pPr>
        <w:spacing w:before="160"/>
        <w:jc w:val="both"/>
        <w:rPr>
          <w:bCs/>
        </w:rPr>
      </w:pPr>
      <w:r w:rsidRPr="006E4BB9">
        <w:rPr>
          <w:bCs/>
        </w:rPr>
        <w:t xml:space="preserve">У ставу </w:t>
      </w:r>
      <w:r w:rsidR="00904ABF" w:rsidRPr="006E4BB9">
        <w:rPr>
          <w:bCs/>
        </w:rPr>
        <w:t>1</w:t>
      </w:r>
      <w:r w:rsidRPr="006E4BB9">
        <w:rPr>
          <w:bCs/>
        </w:rPr>
        <w:t>.</w:t>
      </w:r>
      <w:r w:rsidR="00904ABF" w:rsidRPr="006E4BB9">
        <w:rPr>
          <w:bCs/>
        </w:rPr>
        <w:t xml:space="preserve"> </w:t>
      </w:r>
      <w:r w:rsidR="00793841">
        <w:rPr>
          <w:bCs/>
          <w:lang w:val="sr-Cyrl-RS"/>
        </w:rPr>
        <w:t>тачка</w:t>
      </w:r>
      <w:r w:rsidR="00793841" w:rsidRPr="006E4BB9">
        <w:rPr>
          <w:bCs/>
        </w:rPr>
        <w:t xml:space="preserve"> </w:t>
      </w:r>
      <w:r w:rsidR="00904ABF" w:rsidRPr="006E4BB9">
        <w:rPr>
          <w:bCs/>
        </w:rPr>
        <w:t xml:space="preserve">2), </w:t>
      </w:r>
      <w:r w:rsidRPr="006E4BB9">
        <w:rPr>
          <w:bCs/>
        </w:rPr>
        <w:t>одго</w:t>
      </w:r>
      <w:r w:rsidR="004D7BA6">
        <w:rPr>
          <w:bCs/>
        </w:rPr>
        <w:t>варајућа замена за реч „омогућило</w:t>
      </w:r>
      <w:r w:rsidRPr="006E4BB9">
        <w:rPr>
          <w:bCs/>
        </w:rPr>
        <w:t>“ би била да се „избегне довођење у питање“ као у члану</w:t>
      </w:r>
      <w:r w:rsidR="00904ABF" w:rsidRPr="006E4BB9">
        <w:rPr>
          <w:bCs/>
        </w:rPr>
        <w:t xml:space="preserve"> 15</w:t>
      </w:r>
      <w:r w:rsidRPr="006E4BB9">
        <w:rPr>
          <w:bCs/>
        </w:rPr>
        <w:t xml:space="preserve">. став </w:t>
      </w:r>
      <w:r w:rsidR="00904ABF" w:rsidRPr="006E4BB9">
        <w:rPr>
          <w:bCs/>
        </w:rPr>
        <w:t>(1)</w:t>
      </w:r>
      <w:r w:rsidRPr="006E4BB9">
        <w:rPr>
          <w:bCs/>
        </w:rPr>
        <w:t xml:space="preserve"> </w:t>
      </w:r>
      <w:r w:rsidR="00793841">
        <w:rPr>
          <w:bCs/>
          <w:lang w:val="sr-Cyrl-RS"/>
        </w:rPr>
        <w:t>тачка</w:t>
      </w:r>
      <w:r w:rsidR="00793841" w:rsidRPr="006E4BB9">
        <w:rPr>
          <w:bCs/>
        </w:rPr>
        <w:t xml:space="preserve"> </w:t>
      </w:r>
      <w:r w:rsidR="00904ABF" w:rsidRPr="006E4BB9">
        <w:rPr>
          <w:bCs/>
        </w:rPr>
        <w:t>(</w:t>
      </w:r>
      <w:r w:rsidRPr="006E4BB9">
        <w:rPr>
          <w:bCs/>
        </w:rPr>
        <w:t>б</w:t>
      </w:r>
      <w:r w:rsidR="00904ABF" w:rsidRPr="006E4BB9">
        <w:rPr>
          <w:bCs/>
        </w:rPr>
        <w:t xml:space="preserve">) </w:t>
      </w:r>
      <w:r w:rsidR="00CA510A" w:rsidRPr="006E4BB9">
        <w:rPr>
          <w:bCs/>
          <w:i/>
        </w:rPr>
        <w:t>LED</w:t>
      </w:r>
      <w:r w:rsidR="00904ABF" w:rsidRPr="006E4BB9">
        <w:rPr>
          <w:bCs/>
        </w:rPr>
        <w:t xml:space="preserve">. </w:t>
      </w:r>
    </w:p>
    <w:p w14:paraId="3523F488" w14:textId="179BE824" w:rsidR="00904ABF" w:rsidRPr="006E4BB9" w:rsidRDefault="00E73229" w:rsidP="00904ABF">
      <w:pPr>
        <w:spacing w:before="160"/>
        <w:jc w:val="both"/>
        <w:rPr>
          <w:bCs/>
        </w:rPr>
      </w:pPr>
      <w:r w:rsidRPr="006E4BB9">
        <w:rPr>
          <w:bCs/>
        </w:rPr>
        <w:t>Ограничења морају бити прописана законом</w:t>
      </w:r>
      <w:r w:rsidR="00904ABF" w:rsidRPr="006E4BB9">
        <w:rPr>
          <w:bCs/>
        </w:rPr>
        <w:t xml:space="preserve"> (</w:t>
      </w:r>
      <w:r w:rsidRPr="006E4BB9">
        <w:rPr>
          <w:bCs/>
        </w:rPr>
        <w:t xml:space="preserve">видети опште </w:t>
      </w:r>
      <w:r w:rsidR="00A4375C">
        <w:rPr>
          <w:bCs/>
        </w:rPr>
        <w:t>напомене</w:t>
      </w:r>
      <w:r w:rsidR="00904ABF" w:rsidRPr="006E4BB9">
        <w:rPr>
          <w:bCs/>
        </w:rPr>
        <w:t>).</w:t>
      </w:r>
    </w:p>
    <w:p w14:paraId="3F68E1DE" w14:textId="77777777" w:rsidR="00904ABF" w:rsidRPr="006E4BB9" w:rsidRDefault="00E73229" w:rsidP="00904ABF">
      <w:pPr>
        <w:spacing w:before="160"/>
        <w:jc w:val="both"/>
        <w:rPr>
          <w:b/>
          <w:bCs/>
        </w:rPr>
      </w:pPr>
      <w:r w:rsidRPr="006E4BB9">
        <w:rPr>
          <w:b/>
          <w:bCs/>
        </w:rPr>
        <w:t>Члан</w:t>
      </w:r>
      <w:r w:rsidR="00904ABF" w:rsidRPr="006E4BB9">
        <w:rPr>
          <w:b/>
          <w:bCs/>
        </w:rPr>
        <w:t xml:space="preserve"> 29:</w:t>
      </w:r>
    </w:p>
    <w:p w14:paraId="35ADE108" w14:textId="77777777" w:rsidR="00904ABF" w:rsidRPr="006E4BB9" w:rsidRDefault="00261D5F" w:rsidP="00904ABF">
      <w:pPr>
        <w:spacing w:before="240" w:after="200" w:line="240" w:lineRule="auto"/>
        <w:jc w:val="both"/>
        <w:rPr>
          <w:bCs/>
        </w:rPr>
      </w:pPr>
      <w:r w:rsidRPr="006E4BB9">
        <w:rPr>
          <w:bCs/>
        </w:rPr>
        <w:t>Чини се да п</w:t>
      </w:r>
      <w:r w:rsidR="00E73229" w:rsidRPr="006E4BB9">
        <w:rPr>
          <w:bCs/>
        </w:rPr>
        <w:t>раво на исправ</w:t>
      </w:r>
      <w:r w:rsidRPr="006E4BB9">
        <w:rPr>
          <w:bCs/>
        </w:rPr>
        <w:t xml:space="preserve">ку које је уређено према овом члану обухвата и право на исправку из члана </w:t>
      </w:r>
      <w:r w:rsidR="00904ABF" w:rsidRPr="006E4BB9">
        <w:rPr>
          <w:bCs/>
        </w:rPr>
        <w:t>16</w:t>
      </w:r>
      <w:r w:rsidRPr="006E4BB9">
        <w:rPr>
          <w:bCs/>
        </w:rPr>
        <w:t>.</w:t>
      </w:r>
      <w:r w:rsidR="00904ABF" w:rsidRPr="006E4BB9">
        <w:rPr>
          <w:bCs/>
        </w:rPr>
        <w:t xml:space="preserve"> </w:t>
      </w:r>
      <w:r w:rsidR="00CA510A" w:rsidRPr="006E4BB9">
        <w:rPr>
          <w:bCs/>
          <w:i/>
        </w:rPr>
        <w:t>GDPR</w:t>
      </w:r>
      <w:r w:rsidR="00904ABF" w:rsidRPr="006E4BB9">
        <w:rPr>
          <w:bCs/>
        </w:rPr>
        <w:t xml:space="preserve"> </w:t>
      </w:r>
      <w:r w:rsidRPr="006E4BB9">
        <w:rPr>
          <w:bCs/>
        </w:rPr>
        <w:t xml:space="preserve">и право из члана </w:t>
      </w:r>
      <w:r w:rsidR="00904ABF" w:rsidRPr="006E4BB9">
        <w:rPr>
          <w:bCs/>
        </w:rPr>
        <w:t>16</w:t>
      </w:r>
      <w:r w:rsidRPr="006E4BB9">
        <w:rPr>
          <w:bCs/>
        </w:rPr>
        <w:t>. став</w:t>
      </w:r>
      <w:r w:rsidR="00904ABF" w:rsidRPr="006E4BB9">
        <w:rPr>
          <w:bCs/>
        </w:rPr>
        <w:t xml:space="preserve"> (1) </w:t>
      </w:r>
      <w:r w:rsidR="00CA510A" w:rsidRPr="006E4BB9">
        <w:rPr>
          <w:bCs/>
          <w:i/>
        </w:rPr>
        <w:t>LED</w:t>
      </w:r>
      <w:r w:rsidR="00904ABF" w:rsidRPr="006E4BB9">
        <w:rPr>
          <w:bCs/>
        </w:rPr>
        <w:t xml:space="preserve"> (</w:t>
      </w:r>
      <w:r w:rsidRPr="006E4BB9">
        <w:rPr>
          <w:bCs/>
        </w:rPr>
        <w:t xml:space="preserve">пошто Закон не садржи ниједну одредбу према којој се члан </w:t>
      </w:r>
      <w:r w:rsidR="00904ABF" w:rsidRPr="006E4BB9">
        <w:rPr>
          <w:bCs/>
        </w:rPr>
        <w:t>29</w:t>
      </w:r>
      <w:r w:rsidRPr="006E4BB9">
        <w:rPr>
          <w:bCs/>
        </w:rPr>
        <w:t>. Закона не би примењивао на „обраду од стране надлежних органа у посебне сврхе“</w:t>
      </w:r>
      <w:r w:rsidR="00904ABF" w:rsidRPr="006E4BB9">
        <w:rPr>
          <w:bCs/>
        </w:rPr>
        <w:t xml:space="preserve">). </w:t>
      </w:r>
      <w:r w:rsidRPr="006E4BB9">
        <w:rPr>
          <w:bCs/>
        </w:rPr>
        <w:t xml:space="preserve">Према процедуралним одредбама из члана </w:t>
      </w:r>
      <w:r w:rsidR="00904ABF" w:rsidRPr="006E4BB9">
        <w:rPr>
          <w:bCs/>
        </w:rPr>
        <w:t>22</w:t>
      </w:r>
      <w:r w:rsidRPr="006E4BB9">
        <w:rPr>
          <w:bCs/>
        </w:rPr>
        <w:t xml:space="preserve">. – којима се уређују трошкови, могућност приступа, итд. за права појединаца када надлежни органи обрађују податке о личности у посебне сврхе – право на исправку из члана </w:t>
      </w:r>
      <w:r w:rsidR="00904ABF" w:rsidRPr="006E4BB9">
        <w:rPr>
          <w:bCs/>
        </w:rPr>
        <w:t>29</w:t>
      </w:r>
      <w:r w:rsidRPr="006E4BB9">
        <w:rPr>
          <w:bCs/>
        </w:rPr>
        <w:t>.</w:t>
      </w:r>
      <w:r w:rsidR="00904ABF" w:rsidRPr="006E4BB9">
        <w:rPr>
          <w:bCs/>
        </w:rPr>
        <w:t xml:space="preserve"> </w:t>
      </w:r>
      <w:r w:rsidRPr="006E4BB9">
        <w:rPr>
          <w:bCs/>
        </w:rPr>
        <w:t>није</w:t>
      </w:r>
      <w:r w:rsidR="00904ABF" w:rsidRPr="006E4BB9">
        <w:rPr>
          <w:bCs/>
        </w:rPr>
        <w:t xml:space="preserve"> </w:t>
      </w:r>
      <w:r w:rsidRPr="006E4BB9">
        <w:rPr>
          <w:bCs/>
        </w:rPr>
        <w:t xml:space="preserve">укључено у члан </w:t>
      </w:r>
      <w:r w:rsidR="00904ABF" w:rsidRPr="006E4BB9">
        <w:rPr>
          <w:bCs/>
        </w:rPr>
        <w:t xml:space="preserve">22. </w:t>
      </w:r>
      <w:r w:rsidRPr="006E4BB9">
        <w:rPr>
          <w:bCs/>
        </w:rPr>
        <w:t xml:space="preserve">Пошто члан </w:t>
      </w:r>
      <w:r w:rsidR="00904ABF" w:rsidRPr="006E4BB9">
        <w:rPr>
          <w:bCs/>
        </w:rPr>
        <w:t>22</w:t>
      </w:r>
      <w:r w:rsidRPr="006E4BB9">
        <w:rPr>
          <w:bCs/>
        </w:rPr>
        <w:t>. не</w:t>
      </w:r>
      <w:r w:rsidR="00904ABF" w:rsidRPr="006E4BB9">
        <w:rPr>
          <w:bCs/>
        </w:rPr>
        <w:t xml:space="preserve"> </w:t>
      </w:r>
      <w:r w:rsidRPr="006E4BB9">
        <w:rPr>
          <w:bCs/>
        </w:rPr>
        <w:t xml:space="preserve">важи за члан </w:t>
      </w:r>
      <w:r w:rsidR="00904ABF" w:rsidRPr="006E4BB9">
        <w:rPr>
          <w:bCs/>
        </w:rPr>
        <w:t xml:space="preserve">29, </w:t>
      </w:r>
      <w:r w:rsidRPr="006E4BB9">
        <w:rPr>
          <w:bCs/>
        </w:rPr>
        <w:t>ов</w:t>
      </w:r>
      <w:r w:rsidR="00AA40CC" w:rsidRPr="006E4BB9">
        <w:rPr>
          <w:bCs/>
        </w:rPr>
        <w:t>им</w:t>
      </w:r>
      <w:r w:rsidRPr="006E4BB9">
        <w:rPr>
          <w:bCs/>
        </w:rPr>
        <w:t xml:space="preserve"> Закон</w:t>
      </w:r>
      <w:r w:rsidR="00AA40CC" w:rsidRPr="006E4BB9">
        <w:rPr>
          <w:bCs/>
        </w:rPr>
        <w:t>ом се</w:t>
      </w:r>
      <w:r w:rsidRPr="006E4BB9">
        <w:rPr>
          <w:bCs/>
        </w:rPr>
        <w:t xml:space="preserve"> не гарантује право на исправку из члана </w:t>
      </w:r>
      <w:r w:rsidR="00904ABF" w:rsidRPr="006E4BB9">
        <w:rPr>
          <w:bCs/>
        </w:rPr>
        <w:t>16</w:t>
      </w:r>
      <w:r w:rsidRPr="006E4BB9">
        <w:rPr>
          <w:bCs/>
        </w:rPr>
        <w:t>. став</w:t>
      </w:r>
      <w:r w:rsidR="00904ABF" w:rsidRPr="006E4BB9">
        <w:rPr>
          <w:bCs/>
        </w:rPr>
        <w:t xml:space="preserve"> (1) </w:t>
      </w:r>
      <w:r w:rsidR="00CA510A" w:rsidRPr="006E4BB9">
        <w:rPr>
          <w:bCs/>
          <w:i/>
        </w:rPr>
        <w:t>LED</w:t>
      </w:r>
      <w:r w:rsidR="00904ABF" w:rsidRPr="006E4BB9">
        <w:rPr>
          <w:bCs/>
        </w:rPr>
        <w:t xml:space="preserve"> </w:t>
      </w:r>
      <w:r w:rsidRPr="006E4BB9">
        <w:rPr>
          <w:bCs/>
        </w:rPr>
        <w:t>лицима на која се подаци односе</w:t>
      </w:r>
      <w:r w:rsidR="00AA40CC" w:rsidRPr="006E4BB9">
        <w:rPr>
          <w:bCs/>
        </w:rPr>
        <w:t xml:space="preserve"> на одговарајући начин</w:t>
      </w:r>
      <w:r w:rsidR="00904ABF" w:rsidRPr="006E4BB9">
        <w:rPr>
          <w:bCs/>
        </w:rPr>
        <w:t>.</w:t>
      </w:r>
    </w:p>
    <w:p w14:paraId="6A9ED282" w14:textId="77777777" w:rsidR="00904ABF" w:rsidRPr="006E4BB9" w:rsidRDefault="00AA40CC" w:rsidP="00904ABF">
      <w:pPr>
        <w:spacing w:before="160"/>
        <w:jc w:val="both"/>
        <w:rPr>
          <w:b/>
          <w:bCs/>
        </w:rPr>
      </w:pPr>
      <w:r w:rsidRPr="006E4BB9">
        <w:rPr>
          <w:b/>
          <w:bCs/>
        </w:rPr>
        <w:t xml:space="preserve">Члан </w:t>
      </w:r>
      <w:r w:rsidR="00904ABF" w:rsidRPr="006E4BB9">
        <w:rPr>
          <w:b/>
          <w:bCs/>
        </w:rPr>
        <w:t>30:</w:t>
      </w:r>
    </w:p>
    <w:p w14:paraId="69FEC6ED" w14:textId="77777777" w:rsidR="00904ABF" w:rsidRPr="006E4BB9" w:rsidRDefault="00AA40CC" w:rsidP="00904ABF">
      <w:pPr>
        <w:spacing w:before="160"/>
        <w:jc w:val="both"/>
        <w:rPr>
          <w:bCs/>
        </w:rPr>
      </w:pPr>
      <w:r w:rsidRPr="006E4BB9">
        <w:rPr>
          <w:bCs/>
        </w:rPr>
        <w:t xml:space="preserve">Ставом </w:t>
      </w:r>
      <w:r w:rsidR="00904ABF" w:rsidRPr="006E4BB9">
        <w:rPr>
          <w:bCs/>
        </w:rPr>
        <w:t>4</w:t>
      </w:r>
      <w:r w:rsidRPr="006E4BB9">
        <w:rPr>
          <w:bCs/>
        </w:rPr>
        <w:t>. је</w:t>
      </w:r>
      <w:r w:rsidR="00904ABF" w:rsidRPr="006E4BB9">
        <w:rPr>
          <w:bCs/>
        </w:rPr>
        <w:t xml:space="preserve"> </w:t>
      </w:r>
      <w:r w:rsidRPr="006E4BB9">
        <w:rPr>
          <w:bCs/>
        </w:rPr>
        <w:t xml:space="preserve">предвиђено да лице на које се подаци односе поднесе захтев за брисање </w:t>
      </w:r>
      <w:r w:rsidR="00D9516F">
        <w:rPr>
          <w:bCs/>
        </w:rPr>
        <w:t>руковаоцу</w:t>
      </w:r>
      <w:r w:rsidRPr="006E4BB9">
        <w:rPr>
          <w:bCs/>
        </w:rPr>
        <w:t xml:space="preserve">. Таква одредба није садржана у члану 17. </w:t>
      </w:r>
      <w:r w:rsidR="00CA510A" w:rsidRPr="006E4BB9">
        <w:rPr>
          <w:bCs/>
          <w:i/>
        </w:rPr>
        <w:t>GDPR</w:t>
      </w:r>
      <w:r w:rsidR="00904ABF" w:rsidRPr="006E4BB9">
        <w:rPr>
          <w:bCs/>
        </w:rPr>
        <w:t>.</w:t>
      </w:r>
      <w:r w:rsidRPr="006E4BB9">
        <w:rPr>
          <w:bCs/>
        </w:rPr>
        <w:t xml:space="preserve"> Није јасно због чега је таква одредба потребна. Ова одредба не треба да утиче на обавезу </w:t>
      </w:r>
      <w:r w:rsidR="000E0A67">
        <w:rPr>
          <w:bCs/>
        </w:rPr>
        <w:t>обрађивача</w:t>
      </w:r>
      <w:r w:rsidRPr="006E4BB9">
        <w:rPr>
          <w:bCs/>
        </w:rPr>
        <w:t xml:space="preserve"> да помаже </w:t>
      </w:r>
      <w:r w:rsidR="000E0A67">
        <w:rPr>
          <w:bCs/>
        </w:rPr>
        <w:t>руковаоцу</w:t>
      </w:r>
      <w:r w:rsidRPr="006E4BB9">
        <w:rPr>
          <w:bCs/>
        </w:rPr>
        <w:t xml:space="preserve"> одговарајућим техничким и организационим мерама</w:t>
      </w:r>
      <w:r w:rsidR="00904ABF" w:rsidRPr="006E4BB9">
        <w:rPr>
          <w:bCs/>
        </w:rPr>
        <w:t>,</w:t>
      </w:r>
      <w:r w:rsidRPr="006E4BB9">
        <w:rPr>
          <w:bCs/>
        </w:rPr>
        <w:t xml:space="preserve"> у мери у којој је то могуће</w:t>
      </w:r>
      <w:r w:rsidR="00904ABF" w:rsidRPr="006E4BB9">
        <w:rPr>
          <w:bCs/>
        </w:rPr>
        <w:t>,</w:t>
      </w:r>
      <w:r w:rsidRPr="006E4BB9">
        <w:rPr>
          <w:bCs/>
        </w:rPr>
        <w:t xml:space="preserve"> у циљу испуњења обавезе </w:t>
      </w:r>
      <w:r w:rsidR="000E0A67">
        <w:rPr>
          <w:bCs/>
        </w:rPr>
        <w:t>руковаоца</w:t>
      </w:r>
      <w:r w:rsidRPr="006E4BB9">
        <w:rPr>
          <w:bCs/>
        </w:rPr>
        <w:t xml:space="preserve"> да одговори на захтеве за реализацију права лица на која се подаци односе</w:t>
      </w:r>
      <w:r w:rsidR="00904ABF" w:rsidRPr="006E4BB9">
        <w:rPr>
          <w:bCs/>
        </w:rPr>
        <w:t xml:space="preserve"> (</w:t>
      </w:r>
      <w:r w:rsidRPr="006E4BB9">
        <w:rPr>
          <w:bCs/>
        </w:rPr>
        <w:t xml:space="preserve">када би лица на која се подаци односе на пример поднела своје захтеве за реализацију својих права </w:t>
      </w:r>
      <w:r w:rsidR="000E0A67">
        <w:rPr>
          <w:bCs/>
        </w:rPr>
        <w:t>обрађивачу</w:t>
      </w:r>
      <w:r w:rsidR="00904ABF" w:rsidRPr="006E4BB9">
        <w:rPr>
          <w:bCs/>
        </w:rPr>
        <w:t xml:space="preserve">). </w:t>
      </w:r>
      <w:r w:rsidRPr="006E4BB9">
        <w:rPr>
          <w:bCs/>
        </w:rPr>
        <w:t xml:space="preserve">Ако би </w:t>
      </w:r>
      <w:r w:rsidR="000E0A67">
        <w:rPr>
          <w:bCs/>
        </w:rPr>
        <w:t>обрађивач</w:t>
      </w:r>
      <w:r w:rsidRPr="006E4BB9">
        <w:rPr>
          <w:bCs/>
        </w:rPr>
        <w:t xml:space="preserve"> могао на законит начин да одбије да поступи пошто прими захтев за брисање, наводећи да лице на које се подаци односе треба</w:t>
      </w:r>
      <w:r w:rsidR="00D61146" w:rsidRPr="006E4BB9">
        <w:rPr>
          <w:bCs/>
        </w:rPr>
        <w:t xml:space="preserve"> да</w:t>
      </w:r>
      <w:r w:rsidRPr="006E4BB9">
        <w:rPr>
          <w:bCs/>
        </w:rPr>
        <w:t xml:space="preserve">, у складу са </w:t>
      </w:r>
      <w:r w:rsidR="00D61146" w:rsidRPr="006E4BB9">
        <w:rPr>
          <w:bCs/>
        </w:rPr>
        <w:t>ставом</w:t>
      </w:r>
      <w:r w:rsidR="00904ABF" w:rsidRPr="006E4BB9">
        <w:rPr>
          <w:bCs/>
        </w:rPr>
        <w:t xml:space="preserve"> 4</w:t>
      </w:r>
      <w:r w:rsidR="00D61146" w:rsidRPr="006E4BB9">
        <w:rPr>
          <w:bCs/>
        </w:rPr>
        <w:t>. члана</w:t>
      </w:r>
      <w:r w:rsidR="00904ABF" w:rsidRPr="006E4BB9">
        <w:rPr>
          <w:bCs/>
        </w:rPr>
        <w:t xml:space="preserve"> 30</w:t>
      </w:r>
      <w:r w:rsidR="00D61146" w:rsidRPr="006E4BB9">
        <w:rPr>
          <w:bCs/>
        </w:rPr>
        <w:t xml:space="preserve">. Закона, поднесе захтев за брисање </w:t>
      </w:r>
      <w:r w:rsidR="000E0A67">
        <w:rPr>
          <w:bCs/>
        </w:rPr>
        <w:t>руковаоцу</w:t>
      </w:r>
      <w:r w:rsidR="00D61146" w:rsidRPr="006E4BB9">
        <w:rPr>
          <w:bCs/>
        </w:rPr>
        <w:t xml:space="preserve"> – такав изузетак би у овом случају био у супротности са сврхом утврђеном</w:t>
      </w:r>
      <w:r w:rsidR="00904ABF" w:rsidRPr="006E4BB9">
        <w:rPr>
          <w:bCs/>
        </w:rPr>
        <w:t xml:space="preserve"> </w:t>
      </w:r>
      <w:r w:rsidR="006F1C89">
        <w:rPr>
          <w:bCs/>
        </w:rPr>
        <w:t xml:space="preserve">у </w:t>
      </w:r>
      <w:r w:rsidR="00CA510A" w:rsidRPr="006E4BB9">
        <w:rPr>
          <w:bCs/>
          <w:i/>
        </w:rPr>
        <w:t>GDPR</w:t>
      </w:r>
      <w:r w:rsidR="00904ABF" w:rsidRPr="006E4BB9">
        <w:rPr>
          <w:bCs/>
        </w:rPr>
        <w:t xml:space="preserve">. </w:t>
      </w:r>
    </w:p>
    <w:p w14:paraId="6E225C0B" w14:textId="77777777" w:rsidR="00904ABF" w:rsidRPr="006E4BB9" w:rsidRDefault="00D61146" w:rsidP="00904ABF">
      <w:pPr>
        <w:spacing w:before="160"/>
        <w:jc w:val="both"/>
        <w:rPr>
          <w:b/>
          <w:bCs/>
        </w:rPr>
      </w:pPr>
      <w:r w:rsidRPr="006E4BB9">
        <w:rPr>
          <w:b/>
          <w:bCs/>
        </w:rPr>
        <w:t xml:space="preserve">Члан </w:t>
      </w:r>
      <w:r w:rsidR="00904ABF" w:rsidRPr="006E4BB9">
        <w:rPr>
          <w:b/>
          <w:bCs/>
        </w:rPr>
        <w:t>32:</w:t>
      </w:r>
    </w:p>
    <w:p w14:paraId="37320C0E" w14:textId="5B9FBD23" w:rsidR="00904ABF" w:rsidRPr="006E4BB9" w:rsidRDefault="00D61146" w:rsidP="00904ABF">
      <w:pPr>
        <w:spacing w:before="160"/>
        <w:jc w:val="both"/>
        <w:rPr>
          <w:bCs/>
        </w:rPr>
      </w:pPr>
      <w:r w:rsidRPr="006E4BB9">
        <w:rPr>
          <w:bCs/>
        </w:rPr>
        <w:t>Став</w:t>
      </w:r>
      <w:r w:rsidR="00904ABF" w:rsidRPr="006E4BB9">
        <w:rPr>
          <w:bCs/>
        </w:rPr>
        <w:t xml:space="preserve"> 1</w:t>
      </w:r>
      <w:r w:rsidRPr="006E4BB9">
        <w:rPr>
          <w:bCs/>
        </w:rPr>
        <w:t xml:space="preserve">. </w:t>
      </w:r>
      <w:r w:rsidR="00793841">
        <w:rPr>
          <w:bCs/>
          <w:lang w:val="sr-Cyrl-RS"/>
        </w:rPr>
        <w:t>тачка</w:t>
      </w:r>
      <w:r w:rsidR="00793841" w:rsidRPr="006E4BB9">
        <w:rPr>
          <w:bCs/>
        </w:rPr>
        <w:t xml:space="preserve"> </w:t>
      </w:r>
      <w:r w:rsidR="00904ABF" w:rsidRPr="006E4BB9">
        <w:rPr>
          <w:bCs/>
        </w:rPr>
        <w:t xml:space="preserve">2) </w:t>
      </w:r>
      <w:r w:rsidRPr="006E4BB9">
        <w:rPr>
          <w:bCs/>
        </w:rPr>
        <w:t xml:space="preserve">предвиђа да ће подаци о личности бити одржавани и обрада ограничена упркос томе што је лице на које се подаци односе поднело захтев за брисање у случају када подаци морају да буду </w:t>
      </w:r>
      <w:r w:rsidRPr="006E4BB9">
        <w:rPr>
          <w:bCs/>
          <w:i/>
        </w:rPr>
        <w:t>прикупљени и одржавани за сврху обезбеђивања доказа</w:t>
      </w:r>
      <w:r w:rsidR="00904ABF" w:rsidRPr="006E4BB9">
        <w:rPr>
          <w:bCs/>
          <w:i/>
        </w:rPr>
        <w:t xml:space="preserve">. </w:t>
      </w:r>
      <w:r w:rsidRPr="006E4BB9">
        <w:rPr>
          <w:bCs/>
        </w:rPr>
        <w:t xml:space="preserve">Ова одредба није у потпуности у складу са одговарајућом одредбом из члана </w:t>
      </w:r>
      <w:r w:rsidR="00904ABF" w:rsidRPr="006E4BB9">
        <w:rPr>
          <w:bCs/>
        </w:rPr>
        <w:t>16.3 (</w:t>
      </w:r>
      <w:r w:rsidRPr="006E4BB9">
        <w:rPr>
          <w:bCs/>
        </w:rPr>
        <w:t>б</w:t>
      </w:r>
      <w:r w:rsidR="00904ABF" w:rsidRPr="006E4BB9">
        <w:rPr>
          <w:bCs/>
        </w:rPr>
        <w:t xml:space="preserve">) </w:t>
      </w:r>
      <w:r w:rsidR="00CA510A" w:rsidRPr="006E4BB9">
        <w:rPr>
          <w:bCs/>
          <w:i/>
        </w:rPr>
        <w:t>LED</w:t>
      </w:r>
      <w:r w:rsidR="00904ABF" w:rsidRPr="006E4BB9">
        <w:rPr>
          <w:bCs/>
        </w:rPr>
        <w:t xml:space="preserve">. </w:t>
      </w:r>
      <w:r w:rsidRPr="006E4BB9">
        <w:rPr>
          <w:bCs/>
        </w:rPr>
        <w:t>Осим тога, није ло</w:t>
      </w:r>
      <w:r w:rsidR="00D9516F">
        <w:rPr>
          <w:bCs/>
        </w:rPr>
        <w:t xml:space="preserve">гично </w:t>
      </w:r>
      <w:r w:rsidR="00D9516F">
        <w:rPr>
          <w:bCs/>
        </w:rPr>
        <w:lastRenderedPageBreak/>
        <w:t>да руковалац</w:t>
      </w:r>
      <w:r w:rsidRPr="006E4BB9">
        <w:rPr>
          <w:bCs/>
        </w:rPr>
        <w:t xml:space="preserve"> треба да одржава податке </w:t>
      </w:r>
      <w:r w:rsidR="0087745F" w:rsidRPr="006E4BB9">
        <w:rPr>
          <w:bCs/>
        </w:rPr>
        <w:t xml:space="preserve">који ипак треба да буду прикупљени </w:t>
      </w:r>
      <w:r w:rsidR="00904ABF" w:rsidRPr="006E4BB9">
        <w:rPr>
          <w:bCs/>
        </w:rPr>
        <w:t>(</w:t>
      </w:r>
      <w:r w:rsidR="0087745F" w:rsidRPr="006E4BB9">
        <w:rPr>
          <w:bCs/>
        </w:rPr>
        <w:t xml:space="preserve">подаци који ипак морају бити прикупљени још нису у поседу </w:t>
      </w:r>
      <w:r w:rsidR="00D9516F">
        <w:rPr>
          <w:bCs/>
        </w:rPr>
        <w:t>руковаоца</w:t>
      </w:r>
      <w:r w:rsidR="0087745F" w:rsidRPr="006E4BB9">
        <w:rPr>
          <w:bCs/>
        </w:rPr>
        <w:t xml:space="preserve">, па стога лице на које се подаци односе не може захтевати брисање тих „могућих будућих“ података, нити </w:t>
      </w:r>
      <w:r w:rsidR="00D9516F">
        <w:rPr>
          <w:bCs/>
        </w:rPr>
        <w:t>руковалац</w:t>
      </w:r>
      <w:r w:rsidR="0087745F" w:rsidRPr="006E4BB9">
        <w:rPr>
          <w:bCs/>
        </w:rPr>
        <w:t xml:space="preserve"> може ограничити обраду таквих података</w:t>
      </w:r>
      <w:r w:rsidR="00904ABF" w:rsidRPr="006E4BB9">
        <w:rPr>
          <w:bCs/>
        </w:rPr>
        <w:t>).</w:t>
      </w:r>
    </w:p>
    <w:p w14:paraId="16054AE2" w14:textId="77777777" w:rsidR="00904ABF" w:rsidRPr="006E4BB9" w:rsidRDefault="0087745F" w:rsidP="00904ABF">
      <w:pPr>
        <w:spacing w:before="160"/>
        <w:jc w:val="both"/>
        <w:rPr>
          <w:b/>
          <w:bCs/>
        </w:rPr>
      </w:pPr>
      <w:r w:rsidRPr="006E4BB9">
        <w:rPr>
          <w:b/>
          <w:bCs/>
        </w:rPr>
        <w:t xml:space="preserve">Члан </w:t>
      </w:r>
      <w:r w:rsidR="00904ABF" w:rsidRPr="006E4BB9">
        <w:rPr>
          <w:b/>
          <w:bCs/>
        </w:rPr>
        <w:t>34:</w:t>
      </w:r>
    </w:p>
    <w:p w14:paraId="641672C0" w14:textId="1A27C9A6" w:rsidR="00904ABF" w:rsidRPr="006E4BB9" w:rsidRDefault="0087745F" w:rsidP="00904ABF">
      <w:pPr>
        <w:spacing w:before="160"/>
        <w:jc w:val="both"/>
        <w:rPr>
          <w:bCs/>
        </w:rPr>
      </w:pPr>
      <w:r w:rsidRPr="006E4BB9">
        <w:rPr>
          <w:bCs/>
        </w:rPr>
        <w:t xml:space="preserve">Ограничавање права приступа како је наведено у ставу </w:t>
      </w:r>
      <w:r w:rsidR="00904ABF" w:rsidRPr="006E4BB9">
        <w:rPr>
          <w:bCs/>
        </w:rPr>
        <w:t>2</w:t>
      </w:r>
      <w:r w:rsidRPr="006E4BB9">
        <w:rPr>
          <w:bCs/>
        </w:rPr>
        <w:t>. члана</w:t>
      </w:r>
      <w:r w:rsidR="00904ABF" w:rsidRPr="006E4BB9">
        <w:rPr>
          <w:bCs/>
        </w:rPr>
        <w:t xml:space="preserve"> 34</w:t>
      </w:r>
      <w:r w:rsidRPr="006E4BB9">
        <w:rPr>
          <w:bCs/>
        </w:rPr>
        <w:t>.</w:t>
      </w:r>
      <w:r w:rsidR="00904ABF" w:rsidRPr="006E4BB9">
        <w:rPr>
          <w:bCs/>
        </w:rPr>
        <w:t xml:space="preserve"> </w:t>
      </w:r>
      <w:r w:rsidRPr="006E4BB9">
        <w:rPr>
          <w:bCs/>
        </w:rPr>
        <w:t xml:space="preserve">треба да буде уређено посебним законом </w:t>
      </w:r>
      <w:r w:rsidR="00904ABF" w:rsidRPr="006E4BB9">
        <w:rPr>
          <w:bCs/>
        </w:rPr>
        <w:t>(</w:t>
      </w:r>
      <w:r w:rsidR="00904ABF" w:rsidRPr="006E4BB9">
        <w:rPr>
          <w:bCs/>
          <w:i/>
        </w:rPr>
        <w:t>lex specialis</w:t>
      </w:r>
      <w:r w:rsidR="00904ABF" w:rsidRPr="006E4BB9">
        <w:rPr>
          <w:bCs/>
        </w:rPr>
        <w:t xml:space="preserve">). </w:t>
      </w:r>
      <w:r w:rsidRPr="006E4BB9">
        <w:rPr>
          <w:bCs/>
        </w:rPr>
        <w:t xml:space="preserve">Одредбе става </w:t>
      </w:r>
      <w:r w:rsidR="00904ABF" w:rsidRPr="006E4BB9">
        <w:rPr>
          <w:bCs/>
        </w:rPr>
        <w:t>2</w:t>
      </w:r>
      <w:r w:rsidRPr="006E4BB9">
        <w:rPr>
          <w:bCs/>
        </w:rPr>
        <w:t>.</w:t>
      </w:r>
      <w:r w:rsidR="00904ABF" w:rsidRPr="006E4BB9">
        <w:rPr>
          <w:bCs/>
        </w:rPr>
        <w:t xml:space="preserve"> </w:t>
      </w:r>
      <w:r w:rsidRPr="006E4BB9">
        <w:rPr>
          <w:bCs/>
        </w:rPr>
        <w:t>треба</w:t>
      </w:r>
      <w:r w:rsidR="00904ABF" w:rsidRPr="006E4BB9">
        <w:rPr>
          <w:bCs/>
        </w:rPr>
        <w:t xml:space="preserve"> </w:t>
      </w:r>
      <w:r w:rsidRPr="006E4BB9">
        <w:rPr>
          <w:bCs/>
        </w:rPr>
        <w:t>сматрати само општом смерницом за законодавца</w:t>
      </w:r>
      <w:r w:rsidR="00904ABF" w:rsidRPr="006E4BB9">
        <w:rPr>
          <w:bCs/>
        </w:rPr>
        <w:t>.</w:t>
      </w:r>
      <w:r w:rsidRPr="006E4BB9">
        <w:rPr>
          <w:bCs/>
        </w:rPr>
        <w:t xml:space="preserve"> Ова примедба се тиче усклађености са правним прописима ЕУ. </w:t>
      </w:r>
      <w:r w:rsidR="00904ABF" w:rsidRPr="006E4BB9">
        <w:rPr>
          <w:bCs/>
        </w:rPr>
        <w:t xml:space="preserve"> </w:t>
      </w:r>
      <w:r w:rsidR="008F3843" w:rsidRPr="006E4BB9">
        <w:rPr>
          <w:bCs/>
        </w:rPr>
        <w:t xml:space="preserve">Одредба која би била у складу са </w:t>
      </w:r>
      <w:r w:rsidR="00CA510A" w:rsidRPr="006E4BB9">
        <w:rPr>
          <w:bCs/>
          <w:i/>
        </w:rPr>
        <w:t>GDPR</w:t>
      </w:r>
      <w:r w:rsidR="008F3843" w:rsidRPr="006E4BB9">
        <w:rPr>
          <w:bCs/>
        </w:rPr>
        <w:t xml:space="preserve"> би, на пример, гласила</w:t>
      </w:r>
      <w:r w:rsidR="00904ABF" w:rsidRPr="006E4BB9">
        <w:rPr>
          <w:bCs/>
        </w:rPr>
        <w:t xml:space="preserve">: </w:t>
      </w:r>
      <w:r w:rsidR="008F3843" w:rsidRPr="006E4BB9">
        <w:rPr>
          <w:bCs/>
        </w:rPr>
        <w:t>„</w:t>
      </w:r>
      <w:r w:rsidR="008F3843" w:rsidRPr="006E4BB9">
        <w:rPr>
          <w:bCs/>
          <w:i/>
        </w:rPr>
        <w:t>Посебним з</w:t>
      </w:r>
      <w:r w:rsidR="00D9516F">
        <w:rPr>
          <w:bCs/>
          <w:i/>
        </w:rPr>
        <w:t>аконом се може прописати да је руковалац</w:t>
      </w:r>
      <w:r w:rsidR="008F3843" w:rsidRPr="006E4BB9">
        <w:rPr>
          <w:bCs/>
          <w:i/>
        </w:rPr>
        <w:t xml:space="preserve"> у потпуности или делимично ослобођен обавезе да обавештава, на коју се упућује у ставу </w:t>
      </w:r>
      <w:r w:rsidR="00904ABF" w:rsidRPr="006E4BB9">
        <w:rPr>
          <w:bCs/>
          <w:i/>
        </w:rPr>
        <w:t>1</w:t>
      </w:r>
      <w:r w:rsidR="008F3843" w:rsidRPr="006E4BB9">
        <w:rPr>
          <w:bCs/>
          <w:i/>
        </w:rPr>
        <w:t>.</w:t>
      </w:r>
      <w:r w:rsidR="00904ABF" w:rsidRPr="006E4BB9">
        <w:rPr>
          <w:bCs/>
          <w:i/>
        </w:rPr>
        <w:t xml:space="preserve"> </w:t>
      </w:r>
      <w:r w:rsidR="008F3843" w:rsidRPr="006E4BB9">
        <w:rPr>
          <w:bCs/>
          <w:i/>
        </w:rPr>
        <w:t>овог</w:t>
      </w:r>
      <w:r w:rsidR="00904ABF" w:rsidRPr="006E4BB9">
        <w:rPr>
          <w:bCs/>
          <w:i/>
        </w:rPr>
        <w:t xml:space="preserve"> </w:t>
      </w:r>
      <w:r w:rsidR="008F3843" w:rsidRPr="006E4BB9">
        <w:rPr>
          <w:bCs/>
          <w:i/>
        </w:rPr>
        <w:t>члана, у мери у којој то ослобађање од обавезе представља неопходну и сразмерну меру у демократском друштву, уз дужно поштовање основних права и легитимних интереса физичког лица</w:t>
      </w:r>
      <w:r w:rsidR="006617B4" w:rsidRPr="006E4BB9">
        <w:rPr>
          <w:bCs/>
          <w:i/>
        </w:rPr>
        <w:t xml:space="preserve"> на које се то односи</w:t>
      </w:r>
      <w:r w:rsidR="008F3843" w:rsidRPr="006E4BB9">
        <w:rPr>
          <w:bCs/>
          <w:i/>
        </w:rPr>
        <w:t xml:space="preserve">, како би се: …“ </w:t>
      </w:r>
      <w:r w:rsidR="00904ABF" w:rsidRPr="006E4BB9">
        <w:rPr>
          <w:bCs/>
        </w:rPr>
        <w:t>(</w:t>
      </w:r>
      <w:r w:rsidR="006617B4" w:rsidRPr="006E4BB9">
        <w:rPr>
          <w:bCs/>
        </w:rPr>
        <w:t xml:space="preserve">видети последњи став општих </w:t>
      </w:r>
      <w:r w:rsidR="00A4375C">
        <w:rPr>
          <w:bCs/>
        </w:rPr>
        <w:t>напомена</w:t>
      </w:r>
      <w:r w:rsidR="00904ABF" w:rsidRPr="006E4BB9">
        <w:rPr>
          <w:bCs/>
        </w:rPr>
        <w:t>).</w:t>
      </w:r>
    </w:p>
    <w:p w14:paraId="4C3D27DC" w14:textId="77777777" w:rsidR="00904ABF" w:rsidRPr="006E4BB9" w:rsidRDefault="006617B4" w:rsidP="00904ABF">
      <w:pPr>
        <w:spacing w:before="160"/>
        <w:jc w:val="both"/>
        <w:rPr>
          <w:b/>
          <w:bCs/>
        </w:rPr>
      </w:pPr>
      <w:r w:rsidRPr="006E4BB9">
        <w:rPr>
          <w:b/>
          <w:bCs/>
        </w:rPr>
        <w:t>Члан</w:t>
      </w:r>
      <w:r w:rsidR="00904ABF" w:rsidRPr="006E4BB9">
        <w:rPr>
          <w:b/>
          <w:bCs/>
        </w:rPr>
        <w:t xml:space="preserve"> 35:</w:t>
      </w:r>
    </w:p>
    <w:p w14:paraId="612F0347" w14:textId="77777777" w:rsidR="00904ABF" w:rsidRPr="006E4BB9" w:rsidRDefault="006617B4" w:rsidP="00904ABF">
      <w:pPr>
        <w:jc w:val="both"/>
      </w:pPr>
      <w:r w:rsidRPr="006E4BB9">
        <w:t xml:space="preserve">У складу са чланом </w:t>
      </w:r>
      <w:r w:rsidR="00904ABF" w:rsidRPr="006E4BB9">
        <w:t>17</w:t>
      </w:r>
      <w:r w:rsidRPr="006E4BB9">
        <w:t xml:space="preserve">. став </w:t>
      </w:r>
      <w:r w:rsidR="00904ABF" w:rsidRPr="006E4BB9">
        <w:t xml:space="preserve">(1) </w:t>
      </w:r>
      <w:r w:rsidR="00CA510A" w:rsidRPr="006E4BB9">
        <w:rPr>
          <w:i/>
        </w:rPr>
        <w:t>LED</w:t>
      </w:r>
      <w:r w:rsidR="00904ABF" w:rsidRPr="006E4BB9">
        <w:t xml:space="preserve">, </w:t>
      </w:r>
      <w:r w:rsidRPr="006E4BB9">
        <w:t xml:space="preserve">националним правним прописима се мора предвидети могућност реализације права на обавештавање, приступ или обавештење о одбијању исправљања или брисања од стране </w:t>
      </w:r>
      <w:r w:rsidR="00D9516F">
        <w:t>руковаоца</w:t>
      </w:r>
      <w:r w:rsidRPr="006E4BB9">
        <w:t xml:space="preserve"> преко надлежног надзорног орана када су та права ограничена од стране </w:t>
      </w:r>
      <w:r w:rsidR="00D9516F">
        <w:t>руковаоца</w:t>
      </w:r>
      <w:r w:rsidRPr="006E4BB9">
        <w:t xml:space="preserve"> на основу законских мера којима се допушта ограничавање, а не у случајевима у којима би та права могла бити реализована директно код </w:t>
      </w:r>
      <w:r w:rsidR="00D9516F">
        <w:t>руковаоца</w:t>
      </w:r>
      <w:r w:rsidR="00D641EF" w:rsidRPr="006E4BB9">
        <w:t xml:space="preserve"> (</w:t>
      </w:r>
      <w:r w:rsidRPr="006E4BB9">
        <w:t>индиректан приступ</w:t>
      </w:r>
      <w:r w:rsidR="00D641EF" w:rsidRPr="006E4BB9">
        <w:t xml:space="preserve">). </w:t>
      </w:r>
      <w:r w:rsidRPr="006E4BB9">
        <w:rPr>
          <w:u w:val="single"/>
        </w:rPr>
        <w:t xml:space="preserve">Ставом </w:t>
      </w:r>
      <w:r w:rsidR="00904ABF" w:rsidRPr="006E4BB9">
        <w:rPr>
          <w:u w:val="single"/>
        </w:rPr>
        <w:t>1</w:t>
      </w:r>
      <w:r w:rsidRPr="006E4BB9">
        <w:rPr>
          <w:u w:val="single"/>
        </w:rPr>
        <w:t>. члана</w:t>
      </w:r>
      <w:r w:rsidR="00904ABF" w:rsidRPr="006E4BB9">
        <w:rPr>
          <w:u w:val="single"/>
        </w:rPr>
        <w:t xml:space="preserve"> 35</w:t>
      </w:r>
      <w:r w:rsidRPr="006E4BB9">
        <w:rPr>
          <w:u w:val="single"/>
        </w:rPr>
        <w:t>.</w:t>
      </w:r>
      <w:r w:rsidR="00904ABF" w:rsidRPr="006E4BB9">
        <w:t xml:space="preserve"> </w:t>
      </w:r>
      <w:r w:rsidRPr="006E4BB9">
        <w:t xml:space="preserve">Закона је предвиђено да се права у претходно наведеним ситуацијама могу реализовати преко Повереника </w:t>
      </w:r>
      <w:r w:rsidRPr="006E4BB9">
        <w:rPr>
          <w:i/>
        </w:rPr>
        <w:t xml:space="preserve">и на основу </w:t>
      </w:r>
      <w:r w:rsidR="00374BFB" w:rsidRPr="006E4BB9">
        <w:rPr>
          <w:i/>
        </w:rPr>
        <w:t>његових законом прописаних надлежности</w:t>
      </w:r>
      <w:r w:rsidR="00374BFB" w:rsidRPr="006E4BB9">
        <w:t>. Законом се у одељку о надлежностима не уређује посебно да ће Повереник поступати по појединачним захтевима у смислу индиректног приступа</w:t>
      </w:r>
      <w:r w:rsidR="00904ABF" w:rsidRPr="006E4BB9">
        <w:t xml:space="preserve">. </w:t>
      </w:r>
      <w:r w:rsidR="00374BFB" w:rsidRPr="006E4BB9">
        <w:t>Из начина на који је срочен став</w:t>
      </w:r>
      <w:r w:rsidR="00904ABF" w:rsidRPr="006E4BB9">
        <w:t xml:space="preserve"> 1</w:t>
      </w:r>
      <w:r w:rsidR="00374BFB" w:rsidRPr="006E4BB9">
        <w:t>.</w:t>
      </w:r>
      <w:r w:rsidR="00904ABF" w:rsidRPr="006E4BB9">
        <w:t xml:space="preserve"> </w:t>
      </w:r>
      <w:r w:rsidR="00374BFB" w:rsidRPr="006E4BB9">
        <w:t>следи</w:t>
      </w:r>
      <w:r w:rsidR="00904ABF" w:rsidRPr="006E4BB9">
        <w:t xml:space="preserve"> </w:t>
      </w:r>
      <w:r w:rsidR="00374BFB" w:rsidRPr="006E4BB9">
        <w:t>да ће Повереник поступати само на основу својих надлежности прописаних ОВИМ Законом, при чему овај Закон не садржи никакве посебне надлежности у погледу индиректног приступа</w:t>
      </w:r>
      <w:r w:rsidR="00904ABF" w:rsidRPr="006E4BB9">
        <w:t xml:space="preserve">. </w:t>
      </w:r>
      <w:r w:rsidR="00374BFB" w:rsidRPr="006E4BB9">
        <w:t xml:space="preserve">Стога је упитно да ли је индиректан приступ из члана </w:t>
      </w:r>
      <w:r w:rsidR="00904ABF" w:rsidRPr="006E4BB9">
        <w:t>17</w:t>
      </w:r>
      <w:r w:rsidR="00374BFB" w:rsidRPr="006E4BB9">
        <w:t xml:space="preserve">. став </w:t>
      </w:r>
      <w:r w:rsidR="00904ABF" w:rsidRPr="006E4BB9">
        <w:t xml:space="preserve">(1) </w:t>
      </w:r>
      <w:r w:rsidR="00CA510A" w:rsidRPr="006E4BB9">
        <w:rPr>
          <w:i/>
        </w:rPr>
        <w:t>LED</w:t>
      </w:r>
      <w:r w:rsidR="00374BFB" w:rsidRPr="006E4BB9">
        <w:t xml:space="preserve"> обезбеђен овим Законом. Као закључак, овај Закон није довољно јасан и прецизан у погледу индиректног приступа из члана </w:t>
      </w:r>
      <w:r w:rsidR="00904ABF" w:rsidRPr="006E4BB9">
        <w:t>17</w:t>
      </w:r>
      <w:r w:rsidR="00374BFB" w:rsidRPr="006E4BB9">
        <w:t xml:space="preserve">. став </w:t>
      </w:r>
      <w:r w:rsidR="00904ABF" w:rsidRPr="006E4BB9">
        <w:t xml:space="preserve">(1) </w:t>
      </w:r>
      <w:r w:rsidR="00CA510A" w:rsidRPr="006E4BB9">
        <w:rPr>
          <w:i/>
        </w:rPr>
        <w:t>LED</w:t>
      </w:r>
      <w:r w:rsidR="00904ABF" w:rsidRPr="006E4BB9">
        <w:t>.</w:t>
      </w:r>
    </w:p>
    <w:p w14:paraId="639DAB42" w14:textId="77777777" w:rsidR="00904ABF" w:rsidRPr="006E4BB9" w:rsidRDefault="008F4EB0" w:rsidP="00904ABF">
      <w:pPr>
        <w:jc w:val="both"/>
      </w:pPr>
      <w:r w:rsidRPr="006E4BB9">
        <w:t xml:space="preserve">У ставу </w:t>
      </w:r>
      <w:r w:rsidR="00904ABF" w:rsidRPr="006E4BB9">
        <w:t>3</w:t>
      </w:r>
      <w:r w:rsidRPr="006E4BB9">
        <w:t>. је</w:t>
      </w:r>
      <w:r w:rsidR="00904ABF" w:rsidRPr="006E4BB9">
        <w:t xml:space="preserve"> </w:t>
      </w:r>
      <w:r w:rsidRPr="006E4BB9">
        <w:t xml:space="preserve">предвиђено да Повереник обавештава лица на која се подаци односе између осталог и о </w:t>
      </w:r>
      <w:r w:rsidRPr="006E4BB9">
        <w:rPr>
          <w:rFonts w:eastAsia="Times New Roman"/>
          <w:i/>
          <w:szCs w:val="24"/>
        </w:rPr>
        <w:t>праву на обраћање суду за заштиту својих права</w:t>
      </w:r>
      <w:r w:rsidRPr="006E4BB9">
        <w:rPr>
          <w:rFonts w:eastAsia="Times New Roman"/>
          <w:szCs w:val="24"/>
        </w:rPr>
        <w:t xml:space="preserve">. У поређењу са чланом </w:t>
      </w:r>
      <w:r w:rsidR="00904ABF" w:rsidRPr="006E4BB9">
        <w:rPr>
          <w:rFonts w:eastAsia="Times New Roman"/>
          <w:szCs w:val="24"/>
        </w:rPr>
        <w:t>17</w:t>
      </w:r>
      <w:r w:rsidRPr="006E4BB9">
        <w:rPr>
          <w:rFonts w:eastAsia="Times New Roman"/>
          <w:szCs w:val="24"/>
        </w:rPr>
        <w:t>. став</w:t>
      </w:r>
      <w:r w:rsidR="00904ABF" w:rsidRPr="006E4BB9">
        <w:rPr>
          <w:rFonts w:eastAsia="Times New Roman"/>
          <w:szCs w:val="24"/>
        </w:rPr>
        <w:t xml:space="preserve"> (3) </w:t>
      </w:r>
      <w:r w:rsidR="00CA510A" w:rsidRPr="006E4BB9">
        <w:rPr>
          <w:rFonts w:eastAsia="Times New Roman"/>
          <w:i/>
          <w:szCs w:val="24"/>
        </w:rPr>
        <w:t>LED</w:t>
      </w:r>
      <w:r w:rsidR="00904ABF" w:rsidRPr="006E4BB9">
        <w:rPr>
          <w:rFonts w:eastAsia="Times New Roman"/>
          <w:szCs w:val="24"/>
        </w:rPr>
        <w:t xml:space="preserve"> </w:t>
      </w:r>
      <w:r w:rsidRPr="006E4BB9">
        <w:rPr>
          <w:rFonts w:eastAsia="Times New Roman"/>
          <w:szCs w:val="24"/>
        </w:rPr>
        <w:t>у коме се користи формулација „</w:t>
      </w:r>
      <w:r w:rsidRPr="006E4BB9">
        <w:rPr>
          <w:rFonts w:eastAsia="Times New Roman"/>
          <w:i/>
          <w:szCs w:val="24"/>
        </w:rPr>
        <w:t>његовом или њеном праву да захтева правно средство“</w:t>
      </w:r>
      <w:r w:rsidR="00904ABF" w:rsidRPr="006E4BB9">
        <w:rPr>
          <w:rFonts w:eastAsia="Times New Roman"/>
          <w:szCs w:val="24"/>
        </w:rPr>
        <w:t xml:space="preserve">, </w:t>
      </w:r>
      <w:r w:rsidRPr="006E4BB9">
        <w:rPr>
          <w:rFonts w:eastAsia="Times New Roman"/>
          <w:szCs w:val="24"/>
        </w:rPr>
        <w:t xml:space="preserve">овај Закон је мање јасан у погледу тога да појединац треба да буде обавештен о специфичном правном средству </w:t>
      </w:r>
      <w:r w:rsidR="00B833D6" w:rsidRPr="006E4BB9">
        <w:rPr>
          <w:rFonts w:eastAsia="Times New Roman"/>
          <w:szCs w:val="24"/>
        </w:rPr>
        <w:t>управног суда у погледу поступка пред Повереником</w:t>
      </w:r>
      <w:r w:rsidR="00904ABF" w:rsidRPr="006E4BB9">
        <w:rPr>
          <w:rFonts w:eastAsia="Times New Roman"/>
          <w:szCs w:val="24"/>
        </w:rPr>
        <w:t xml:space="preserve"> (</w:t>
      </w:r>
      <w:r w:rsidR="00B833D6" w:rsidRPr="006E4BB9">
        <w:rPr>
          <w:rFonts w:eastAsia="Times New Roman"/>
          <w:szCs w:val="24"/>
        </w:rPr>
        <w:t xml:space="preserve">не да појединац има могућност да се обрати </w:t>
      </w:r>
      <w:r w:rsidR="00B833D6" w:rsidRPr="006E4BB9">
        <w:rPr>
          <w:rFonts w:eastAsia="Times New Roman"/>
          <w:i/>
          <w:szCs w:val="24"/>
        </w:rPr>
        <w:t>било ком суду</w:t>
      </w:r>
      <w:r w:rsidR="00B833D6" w:rsidRPr="006E4BB9">
        <w:rPr>
          <w:rFonts w:eastAsia="Times New Roman"/>
          <w:szCs w:val="24"/>
        </w:rPr>
        <w:t xml:space="preserve"> у погледу свог права на заштиту података о личности уопштено</w:t>
      </w:r>
      <w:r w:rsidR="00904ABF" w:rsidRPr="006E4BB9">
        <w:rPr>
          <w:rFonts w:eastAsia="Times New Roman"/>
          <w:szCs w:val="24"/>
        </w:rPr>
        <w:t xml:space="preserve">). </w:t>
      </w:r>
      <w:r w:rsidR="00B9395B" w:rsidRPr="006E4BB9">
        <w:rPr>
          <w:rFonts w:eastAsia="Times New Roman"/>
          <w:szCs w:val="24"/>
        </w:rPr>
        <w:t xml:space="preserve">У мишљењу </w:t>
      </w:r>
      <w:r w:rsidR="00904ABF" w:rsidRPr="006E4BB9">
        <w:rPr>
          <w:rFonts w:eastAsia="Times New Roman"/>
          <w:i/>
          <w:szCs w:val="24"/>
        </w:rPr>
        <w:t>WP</w:t>
      </w:r>
      <w:r w:rsidR="00904ABF" w:rsidRPr="006E4BB9">
        <w:rPr>
          <w:rFonts w:eastAsia="Times New Roman"/>
          <w:szCs w:val="24"/>
        </w:rPr>
        <w:t xml:space="preserve">29 </w:t>
      </w:r>
      <w:r w:rsidR="00B9395B" w:rsidRPr="006E4BB9">
        <w:rPr>
          <w:rFonts w:eastAsia="Times New Roman"/>
          <w:szCs w:val="24"/>
        </w:rPr>
        <w:t xml:space="preserve">о овом питању је јасно наведено да лицу на које се подаци односе треба </w:t>
      </w:r>
      <w:r w:rsidR="002548E4" w:rsidRPr="006E4BB9">
        <w:rPr>
          <w:rFonts w:eastAsia="Times New Roman"/>
          <w:szCs w:val="24"/>
        </w:rPr>
        <w:t>пружити</w:t>
      </w:r>
      <w:r w:rsidR="00B9395B" w:rsidRPr="006E4BB9">
        <w:rPr>
          <w:rFonts w:eastAsia="Times New Roman"/>
          <w:szCs w:val="24"/>
        </w:rPr>
        <w:t xml:space="preserve"> прецизне информације у погледу тога који је судски орган надлежан, тако што ће му се доставити </w:t>
      </w:r>
      <w:r w:rsidR="007C0EE7" w:rsidRPr="006E4BB9">
        <w:rPr>
          <w:rFonts w:eastAsia="Times New Roman"/>
          <w:szCs w:val="24"/>
        </w:rPr>
        <w:t xml:space="preserve">или </w:t>
      </w:r>
      <w:r w:rsidR="00B9395B" w:rsidRPr="006E4BB9">
        <w:rPr>
          <w:rFonts w:eastAsia="Times New Roman"/>
          <w:szCs w:val="24"/>
        </w:rPr>
        <w:t>подаци за контакт и</w:t>
      </w:r>
      <w:r w:rsidR="00904ABF" w:rsidRPr="006E4BB9">
        <w:t>/</w:t>
      </w:r>
      <w:r w:rsidR="00B9395B" w:rsidRPr="006E4BB9">
        <w:t>или упућивање на релевантни правни пропис како би се олакшали упити лица на која се подаци односе</w:t>
      </w:r>
      <w:r w:rsidR="00904ABF" w:rsidRPr="006E4BB9">
        <w:t>.</w:t>
      </w:r>
      <w:r w:rsidR="00904ABF" w:rsidRPr="006E4BB9">
        <w:rPr>
          <w:vertAlign w:val="superscript"/>
        </w:rPr>
        <w:footnoteReference w:id="2"/>
      </w:r>
      <w:r w:rsidR="00904ABF" w:rsidRPr="006E4BB9">
        <w:rPr>
          <w:rFonts w:eastAsia="Times New Roman"/>
          <w:szCs w:val="24"/>
        </w:rPr>
        <w:t xml:space="preserve"> </w:t>
      </w:r>
      <w:r w:rsidR="00B9395B" w:rsidRPr="006E4BB9">
        <w:rPr>
          <w:rFonts w:eastAsia="Times New Roman"/>
          <w:szCs w:val="24"/>
        </w:rPr>
        <w:t xml:space="preserve">У ставу </w:t>
      </w:r>
      <w:r w:rsidR="00904ABF" w:rsidRPr="006E4BB9">
        <w:rPr>
          <w:rFonts w:eastAsia="Times New Roman"/>
          <w:szCs w:val="24"/>
        </w:rPr>
        <w:t>3</w:t>
      </w:r>
      <w:r w:rsidR="00B9395B" w:rsidRPr="006E4BB9">
        <w:rPr>
          <w:rFonts w:eastAsia="Times New Roman"/>
          <w:szCs w:val="24"/>
        </w:rPr>
        <w:t>.</w:t>
      </w:r>
      <w:r w:rsidR="00904ABF" w:rsidRPr="006E4BB9">
        <w:rPr>
          <w:rFonts w:eastAsia="Times New Roman"/>
          <w:szCs w:val="24"/>
        </w:rPr>
        <w:t xml:space="preserve"> </w:t>
      </w:r>
      <w:r w:rsidR="00B9395B" w:rsidRPr="006E4BB9">
        <w:rPr>
          <w:rFonts w:eastAsia="Times New Roman"/>
          <w:szCs w:val="24"/>
        </w:rPr>
        <w:t>није</w:t>
      </w:r>
      <w:r w:rsidR="00904ABF" w:rsidRPr="006E4BB9">
        <w:rPr>
          <w:rFonts w:eastAsia="Times New Roman"/>
          <w:szCs w:val="24"/>
        </w:rPr>
        <w:t xml:space="preserve"> </w:t>
      </w:r>
      <w:r w:rsidR="00B9395B" w:rsidRPr="006E4BB9">
        <w:rPr>
          <w:rFonts w:eastAsia="Times New Roman"/>
          <w:szCs w:val="24"/>
        </w:rPr>
        <w:t xml:space="preserve">јасно наведено да физичким лицима треба пружити информацију </w:t>
      </w:r>
      <w:r w:rsidR="00B9395B" w:rsidRPr="006E4BB9">
        <w:rPr>
          <w:rFonts w:eastAsia="Times New Roman"/>
          <w:i/>
          <w:szCs w:val="24"/>
        </w:rPr>
        <w:t>о правном средству</w:t>
      </w:r>
      <w:r w:rsidR="00B9395B" w:rsidRPr="006E4BB9">
        <w:rPr>
          <w:rFonts w:eastAsia="Times New Roman"/>
          <w:szCs w:val="24"/>
        </w:rPr>
        <w:t xml:space="preserve"> у погледу његовог или њеног права преко индиректног при</w:t>
      </w:r>
      <w:r w:rsidR="002548E4" w:rsidRPr="006E4BB9">
        <w:rPr>
          <w:rFonts w:eastAsia="Times New Roman"/>
          <w:szCs w:val="24"/>
        </w:rPr>
        <w:t>ступа</w:t>
      </w:r>
      <w:r w:rsidR="00904ABF" w:rsidRPr="006E4BB9">
        <w:rPr>
          <w:rFonts w:eastAsia="Times New Roman"/>
          <w:szCs w:val="24"/>
        </w:rPr>
        <w:t>.</w:t>
      </w:r>
    </w:p>
    <w:p w14:paraId="32BFF578" w14:textId="77777777" w:rsidR="00904ABF" w:rsidRPr="006E4BB9" w:rsidRDefault="00374BFB" w:rsidP="00904ABF">
      <w:pPr>
        <w:spacing w:before="160"/>
        <w:jc w:val="both"/>
        <w:rPr>
          <w:b/>
          <w:bCs/>
        </w:rPr>
      </w:pPr>
      <w:r w:rsidRPr="006E4BB9">
        <w:rPr>
          <w:b/>
          <w:bCs/>
        </w:rPr>
        <w:t xml:space="preserve">Члан </w:t>
      </w:r>
      <w:r w:rsidR="00904ABF" w:rsidRPr="006E4BB9">
        <w:rPr>
          <w:b/>
          <w:bCs/>
        </w:rPr>
        <w:t>38:</w:t>
      </w:r>
    </w:p>
    <w:p w14:paraId="0938C50E" w14:textId="77777777" w:rsidR="00904ABF" w:rsidRPr="006E4BB9" w:rsidRDefault="007C0EE7" w:rsidP="00904ABF">
      <w:pPr>
        <w:spacing w:before="160"/>
        <w:jc w:val="both"/>
        <w:rPr>
          <w:bCs/>
        </w:rPr>
      </w:pPr>
      <w:r w:rsidRPr="006E4BB9">
        <w:rPr>
          <w:bCs/>
        </w:rPr>
        <w:lastRenderedPageBreak/>
        <w:t xml:space="preserve">У ставу </w:t>
      </w:r>
      <w:r w:rsidR="00904ABF" w:rsidRPr="006E4BB9">
        <w:rPr>
          <w:bCs/>
        </w:rPr>
        <w:t>1</w:t>
      </w:r>
      <w:r w:rsidRPr="006E4BB9">
        <w:rPr>
          <w:bCs/>
        </w:rPr>
        <w:t xml:space="preserve">. је предвиђено да лица на која се подаци односе имају право да се одлука која је донета искључиво на основу аутоматске обраде, укључујући профилисање, примењује на њих, ако таква одлука </w:t>
      </w:r>
      <w:r w:rsidRPr="006E4BB9">
        <w:rPr>
          <w:bCs/>
          <w:i/>
        </w:rPr>
        <w:t>може произвести</w:t>
      </w:r>
      <w:r w:rsidRPr="006E4BB9">
        <w:rPr>
          <w:bCs/>
        </w:rPr>
        <w:t xml:space="preserve"> </w:t>
      </w:r>
      <w:r w:rsidRPr="006E4BB9">
        <w:rPr>
          <w:bCs/>
          <w:i/>
        </w:rPr>
        <w:t>правн</w:t>
      </w:r>
      <w:r w:rsidR="00DC22C2">
        <w:rPr>
          <w:bCs/>
          <w:i/>
        </w:rPr>
        <w:t>а дејства</w:t>
      </w:r>
      <w:r w:rsidRPr="006E4BB9">
        <w:rPr>
          <w:bCs/>
        </w:rPr>
        <w:t xml:space="preserve"> у вези са лицима на које се подаци односе или </w:t>
      </w:r>
      <w:r w:rsidRPr="006E4BB9">
        <w:rPr>
          <w:bCs/>
          <w:i/>
        </w:rPr>
        <w:t>значајно утицати на његов</w:t>
      </w:r>
      <w:r w:rsidR="00A63581" w:rsidRPr="006E4BB9">
        <w:rPr>
          <w:bCs/>
          <w:i/>
        </w:rPr>
        <w:t xml:space="preserve"> или њен правни положај. </w:t>
      </w:r>
      <w:r w:rsidR="00A63581" w:rsidRPr="006E4BB9">
        <w:rPr>
          <w:bCs/>
        </w:rPr>
        <w:t xml:space="preserve">Чланом </w:t>
      </w:r>
      <w:r w:rsidR="00904ABF" w:rsidRPr="006E4BB9">
        <w:rPr>
          <w:bCs/>
        </w:rPr>
        <w:t>22</w:t>
      </w:r>
      <w:r w:rsidR="00A63581" w:rsidRPr="006E4BB9">
        <w:rPr>
          <w:bCs/>
        </w:rPr>
        <w:t>. став</w:t>
      </w:r>
      <w:r w:rsidR="00904ABF" w:rsidRPr="006E4BB9">
        <w:rPr>
          <w:bCs/>
        </w:rPr>
        <w:t xml:space="preserve"> (1) </w:t>
      </w:r>
      <w:r w:rsidR="00CA510A" w:rsidRPr="006E4BB9">
        <w:rPr>
          <w:bCs/>
          <w:i/>
        </w:rPr>
        <w:t>GDPR</w:t>
      </w:r>
      <w:r w:rsidR="00904ABF" w:rsidRPr="006E4BB9">
        <w:rPr>
          <w:bCs/>
        </w:rPr>
        <w:t xml:space="preserve"> </w:t>
      </w:r>
      <w:r w:rsidR="00A63581" w:rsidRPr="006E4BB9">
        <w:rPr>
          <w:bCs/>
        </w:rPr>
        <w:t xml:space="preserve">је предвиђено да лице на које се подаци односе има право да не буде предмет одлуке засноване искључиво на аутоматској обради, укључујући профилисање, </w:t>
      </w:r>
      <w:r w:rsidR="00A63581" w:rsidRPr="006E4BB9">
        <w:rPr>
          <w:bCs/>
          <w:i/>
        </w:rPr>
        <w:t xml:space="preserve">која производи права дејства </w:t>
      </w:r>
      <w:r w:rsidR="00A63581" w:rsidRPr="006E4BB9">
        <w:rPr>
          <w:bCs/>
        </w:rPr>
        <w:t xml:space="preserve">у вези са њим или њом или </w:t>
      </w:r>
      <w:r w:rsidR="00A63581" w:rsidRPr="006E4BB9">
        <w:rPr>
          <w:bCs/>
          <w:i/>
        </w:rPr>
        <w:t>на сличан начин значајно утиче на њега или њу</w:t>
      </w:r>
      <w:r w:rsidR="00904ABF" w:rsidRPr="006E4BB9">
        <w:rPr>
          <w:bCs/>
        </w:rPr>
        <w:t xml:space="preserve">. </w:t>
      </w:r>
      <w:r w:rsidR="00CA510A" w:rsidRPr="006E4BB9">
        <w:rPr>
          <w:bCs/>
          <w:i/>
        </w:rPr>
        <w:t>GDPR</w:t>
      </w:r>
      <w:r w:rsidR="00904ABF" w:rsidRPr="006E4BB9">
        <w:rPr>
          <w:bCs/>
        </w:rPr>
        <w:t xml:space="preserve"> </w:t>
      </w:r>
      <w:r w:rsidR="00A63581" w:rsidRPr="006E4BB9">
        <w:rPr>
          <w:bCs/>
        </w:rPr>
        <w:t xml:space="preserve">забрањује да аутоматско одлучивање има последице по појединца у ове две ситуације. </w:t>
      </w:r>
      <w:r w:rsidR="00A63581" w:rsidRPr="006E4BB9">
        <w:rPr>
          <w:b/>
          <w:bCs/>
        </w:rPr>
        <w:t>Прва се односи на „правно дејство“</w:t>
      </w:r>
      <w:r w:rsidR="00A63581" w:rsidRPr="006E4BB9">
        <w:rPr>
          <w:bCs/>
        </w:rPr>
        <w:t>, што значи да она утиче на нечија законска права, као што је слобода удруживања са другима, гласање на изборима, или предузимање правних мера. Правно дејство такође може бити нешто што утиче на правни статус лица или на њихова права према уговору. Примери овог типа дејства укључују аутоматизоване одлуке о појединцу које имају за резултат</w:t>
      </w:r>
      <w:r w:rsidR="00904ABF" w:rsidRPr="006E4BB9">
        <w:rPr>
          <w:bCs/>
        </w:rPr>
        <w:t xml:space="preserve">: </w:t>
      </w:r>
      <w:r w:rsidR="00A63581" w:rsidRPr="006E4BB9">
        <w:rPr>
          <w:bCs/>
        </w:rPr>
        <w:t>поништење уговора</w:t>
      </w:r>
      <w:r w:rsidR="00904ABF" w:rsidRPr="006E4BB9">
        <w:rPr>
          <w:bCs/>
        </w:rPr>
        <w:t xml:space="preserve">; </w:t>
      </w:r>
      <w:r w:rsidR="00A63581" w:rsidRPr="006E4BB9">
        <w:rPr>
          <w:bCs/>
        </w:rPr>
        <w:t xml:space="preserve">прав на или ускраћивање одређене социјалне бенефиције </w:t>
      </w:r>
      <w:r w:rsidR="006E4BB9" w:rsidRPr="006E4BB9">
        <w:rPr>
          <w:bCs/>
        </w:rPr>
        <w:t>према закону, као што је дечји додатак или додатак за становање</w:t>
      </w:r>
      <w:r w:rsidR="00904ABF" w:rsidRPr="006E4BB9">
        <w:rPr>
          <w:bCs/>
        </w:rPr>
        <w:t xml:space="preserve">; </w:t>
      </w:r>
      <w:r w:rsidR="006E4BB9" w:rsidRPr="006E4BB9">
        <w:rPr>
          <w:bCs/>
        </w:rPr>
        <w:t>одбијање пријема у неку земљу или одбијање да му се да држављанство</w:t>
      </w:r>
      <w:r w:rsidR="00904ABF" w:rsidRPr="006E4BB9">
        <w:rPr>
          <w:bCs/>
        </w:rPr>
        <w:t xml:space="preserve">. </w:t>
      </w:r>
      <w:r w:rsidR="006E4BB9" w:rsidRPr="006E4BB9">
        <w:rPr>
          <w:b/>
          <w:bCs/>
        </w:rPr>
        <w:t>Друга, „на сличан начин значајно утиче“,</w:t>
      </w:r>
      <w:r w:rsidR="006E4BB9" w:rsidRPr="006E4BB9">
        <w:rPr>
          <w:bCs/>
        </w:rPr>
        <w:t xml:space="preserve"> се односи на процес одлучивања који нема дејство по законска права лица</w:t>
      </w:r>
      <w:r w:rsidR="00904ABF" w:rsidRPr="006E4BB9">
        <w:rPr>
          <w:bCs/>
        </w:rPr>
        <w:t xml:space="preserve">, </w:t>
      </w:r>
      <w:r w:rsidR="006E4BB9" w:rsidRPr="006E4BB9">
        <w:rPr>
          <w:bCs/>
        </w:rPr>
        <w:t xml:space="preserve">иако би и поред тога могла потпадати под област примере члана </w:t>
      </w:r>
      <w:r w:rsidR="00904ABF" w:rsidRPr="006E4BB9">
        <w:rPr>
          <w:bCs/>
        </w:rPr>
        <w:t>22</w:t>
      </w:r>
      <w:r w:rsidR="006E4BB9" w:rsidRPr="006E4BB9">
        <w:rPr>
          <w:bCs/>
        </w:rPr>
        <w:t>.</w:t>
      </w:r>
      <w:r w:rsidR="00904ABF" w:rsidRPr="006E4BB9">
        <w:rPr>
          <w:bCs/>
        </w:rPr>
        <w:t xml:space="preserve"> </w:t>
      </w:r>
      <w:r w:rsidR="00CA510A" w:rsidRPr="006E4BB9">
        <w:rPr>
          <w:bCs/>
          <w:i/>
        </w:rPr>
        <w:t>GDPR</w:t>
      </w:r>
      <w:r w:rsidR="006E4BB9" w:rsidRPr="006E4BB9">
        <w:rPr>
          <w:bCs/>
        </w:rPr>
        <w:t xml:space="preserve"> ако производи дејство које је </w:t>
      </w:r>
      <w:r w:rsidR="006E4BB9" w:rsidRPr="006E4BB9">
        <w:rPr>
          <w:bCs/>
          <w:i/>
        </w:rPr>
        <w:t>еквивалентно или на сличан начин значајно по свом утицају</w:t>
      </w:r>
      <w:r w:rsidR="00904ABF" w:rsidRPr="006E4BB9">
        <w:rPr>
          <w:bCs/>
        </w:rPr>
        <w:t xml:space="preserve">. </w:t>
      </w:r>
      <w:r w:rsidR="006E4BB9">
        <w:rPr>
          <w:bCs/>
        </w:rPr>
        <w:t xml:space="preserve">Другим речима, чак и када не постоји никаква измена законских права или обавеза лица, то би и даље могло утицати на лице на које се подаци односе у довољној мери да оно захтева заштиту према овој одредби. </w:t>
      </w:r>
      <w:r w:rsidR="00CA510A" w:rsidRPr="006E4BB9">
        <w:rPr>
          <w:bCs/>
          <w:i/>
        </w:rPr>
        <w:t>GDPR</w:t>
      </w:r>
      <w:r w:rsidR="00904ABF" w:rsidRPr="006E4BB9">
        <w:rPr>
          <w:bCs/>
        </w:rPr>
        <w:t xml:space="preserve"> </w:t>
      </w:r>
      <w:r w:rsidR="006E4BB9">
        <w:rPr>
          <w:bCs/>
        </w:rPr>
        <w:t xml:space="preserve">уводи израз „на сличан начин“ (који не постоји у члану </w:t>
      </w:r>
      <w:r w:rsidR="00904ABF" w:rsidRPr="006E4BB9">
        <w:rPr>
          <w:bCs/>
        </w:rPr>
        <w:t>15</w:t>
      </w:r>
      <w:r w:rsidR="006E4BB9">
        <w:rPr>
          <w:bCs/>
        </w:rPr>
        <w:t xml:space="preserve">. Директиве </w:t>
      </w:r>
      <w:r w:rsidR="00904ABF" w:rsidRPr="006E4BB9">
        <w:rPr>
          <w:bCs/>
        </w:rPr>
        <w:t>95/46/</w:t>
      </w:r>
      <w:r w:rsidR="006E4BB9">
        <w:rPr>
          <w:bCs/>
        </w:rPr>
        <w:t>ЕЗ</w:t>
      </w:r>
      <w:r w:rsidR="00904ABF" w:rsidRPr="006E4BB9">
        <w:rPr>
          <w:bCs/>
        </w:rPr>
        <w:t xml:space="preserve">) </w:t>
      </w:r>
      <w:r w:rsidR="00E1685D">
        <w:rPr>
          <w:bCs/>
        </w:rPr>
        <w:t>уз фразу „значајно утиче“</w:t>
      </w:r>
      <w:r w:rsidR="00904ABF" w:rsidRPr="006E4BB9">
        <w:rPr>
          <w:bCs/>
        </w:rPr>
        <w:t xml:space="preserve">. </w:t>
      </w:r>
      <w:r w:rsidR="00E1685D">
        <w:rPr>
          <w:bCs/>
        </w:rPr>
        <w:t xml:space="preserve">Стога праг за значај мора бити сличан прагу за одлуку која производи неко правно дејство. У уводној изјави </w:t>
      </w:r>
      <w:r w:rsidR="00904ABF" w:rsidRPr="006E4BB9">
        <w:rPr>
          <w:bCs/>
        </w:rPr>
        <w:t>71</w:t>
      </w:r>
      <w:r w:rsidR="00E1685D">
        <w:rPr>
          <w:bCs/>
        </w:rPr>
        <w:t>.</w:t>
      </w:r>
      <w:r w:rsidR="00904ABF" w:rsidRPr="006E4BB9">
        <w:rPr>
          <w:bCs/>
        </w:rPr>
        <w:t xml:space="preserve"> </w:t>
      </w:r>
      <w:r w:rsidR="00CA510A" w:rsidRPr="006E4BB9">
        <w:rPr>
          <w:bCs/>
          <w:i/>
        </w:rPr>
        <w:t>GDPR</w:t>
      </w:r>
      <w:r w:rsidR="00E1685D">
        <w:rPr>
          <w:bCs/>
        </w:rPr>
        <w:t xml:space="preserve"> су предвиђена следећа два типична примера</w:t>
      </w:r>
      <w:r w:rsidR="00904ABF" w:rsidRPr="006E4BB9">
        <w:rPr>
          <w:bCs/>
        </w:rPr>
        <w:t xml:space="preserve">: </w:t>
      </w:r>
      <w:r w:rsidR="00E1685D">
        <w:rPr>
          <w:bCs/>
        </w:rPr>
        <w:t>„аутоматско одбијање онлајн захтева за одобрење кредита“ или</w:t>
      </w:r>
      <w:r w:rsidR="00904ABF" w:rsidRPr="006E4BB9">
        <w:rPr>
          <w:bCs/>
        </w:rPr>
        <w:t xml:space="preserve"> </w:t>
      </w:r>
      <w:r w:rsidR="00E1685D">
        <w:rPr>
          <w:bCs/>
        </w:rPr>
        <w:t>„праксе е</w:t>
      </w:r>
      <w:r w:rsidR="00904ABF" w:rsidRPr="006E4BB9">
        <w:rPr>
          <w:bCs/>
        </w:rPr>
        <w:t>-</w:t>
      </w:r>
      <w:r w:rsidR="00E1685D">
        <w:rPr>
          <w:bCs/>
        </w:rPr>
        <w:t>ангажовања без икакве људске интервенције“. Да би обрада података у значајној мери утицала на некога, ефекти обраде морају бити довољно велики или значајни да би били вредни пажње. Другим речима, одлука мора да има потенцијал да</w:t>
      </w:r>
      <w:r w:rsidR="00904ABF" w:rsidRPr="006E4BB9">
        <w:rPr>
          <w:bCs/>
        </w:rPr>
        <w:t xml:space="preserve">: </w:t>
      </w:r>
      <w:r w:rsidR="00E1685D">
        <w:rPr>
          <w:bCs/>
        </w:rPr>
        <w:t>у значајној мери утиче на околности, понашање или изборе датих појединаца</w:t>
      </w:r>
      <w:r w:rsidR="00904ABF" w:rsidRPr="006E4BB9">
        <w:rPr>
          <w:bCs/>
        </w:rPr>
        <w:t xml:space="preserve">; </w:t>
      </w:r>
      <w:r w:rsidR="00E1685D">
        <w:rPr>
          <w:bCs/>
        </w:rPr>
        <w:t>има продужени или трајни утицај на лице на које се подаци односе</w:t>
      </w:r>
      <w:r w:rsidR="00904ABF" w:rsidRPr="006E4BB9">
        <w:rPr>
          <w:bCs/>
        </w:rPr>
        <w:t xml:space="preserve">; </w:t>
      </w:r>
      <w:r w:rsidR="00E1685D">
        <w:rPr>
          <w:bCs/>
        </w:rPr>
        <w:t>или у најекстремнијем случају, доводе до искључивања или дискриминације појединаца</w:t>
      </w:r>
      <w:r w:rsidR="00904ABF" w:rsidRPr="006E4BB9">
        <w:rPr>
          <w:bCs/>
        </w:rPr>
        <w:t>.</w:t>
      </w:r>
      <w:r w:rsidR="00904ABF" w:rsidRPr="006E4BB9">
        <w:rPr>
          <w:bCs/>
          <w:vertAlign w:val="superscript"/>
        </w:rPr>
        <w:footnoteReference w:id="3"/>
      </w:r>
    </w:p>
    <w:p w14:paraId="340A644F" w14:textId="0DB6F1CF" w:rsidR="00E7302F" w:rsidRPr="006E4BB9" w:rsidRDefault="00DC22C2" w:rsidP="00E7302F">
      <w:pPr>
        <w:spacing w:before="160"/>
        <w:jc w:val="both"/>
        <w:rPr>
          <w:b/>
          <w:bCs/>
        </w:rPr>
      </w:pPr>
      <w:r>
        <w:rPr>
          <w:bCs/>
        </w:rPr>
        <w:t xml:space="preserve">Формулацијом у ставу </w:t>
      </w:r>
      <w:r w:rsidR="00904ABF" w:rsidRPr="006E4BB9">
        <w:rPr>
          <w:bCs/>
        </w:rPr>
        <w:t>1</w:t>
      </w:r>
      <w:r>
        <w:rPr>
          <w:bCs/>
        </w:rPr>
        <w:t>.</w:t>
      </w:r>
      <w:r w:rsidR="00904ABF" w:rsidRPr="006E4BB9">
        <w:rPr>
          <w:bCs/>
        </w:rPr>
        <w:t xml:space="preserve"> </w:t>
      </w:r>
      <w:r>
        <w:rPr>
          <w:bCs/>
        </w:rPr>
        <w:t>се не</w:t>
      </w:r>
      <w:r w:rsidR="00904ABF" w:rsidRPr="006E4BB9">
        <w:rPr>
          <w:bCs/>
        </w:rPr>
        <w:t xml:space="preserve"> </w:t>
      </w:r>
      <w:r>
        <w:rPr>
          <w:bCs/>
        </w:rPr>
        <w:t xml:space="preserve">одражавају јасно два објашњена концепта из члана </w:t>
      </w:r>
      <w:r w:rsidR="00904ABF" w:rsidRPr="006E4BB9">
        <w:rPr>
          <w:bCs/>
        </w:rPr>
        <w:t>22</w:t>
      </w:r>
      <w:r>
        <w:rPr>
          <w:bCs/>
        </w:rPr>
        <w:t xml:space="preserve">. став </w:t>
      </w:r>
      <w:r w:rsidR="00904ABF" w:rsidRPr="006E4BB9">
        <w:rPr>
          <w:bCs/>
        </w:rPr>
        <w:t xml:space="preserve">(1) </w:t>
      </w:r>
      <w:r w:rsidR="00CA510A" w:rsidRPr="006E4BB9">
        <w:rPr>
          <w:bCs/>
          <w:i/>
        </w:rPr>
        <w:t>GDPR</w:t>
      </w:r>
      <w:r w:rsidR="00904ABF" w:rsidRPr="006E4BB9">
        <w:rPr>
          <w:bCs/>
        </w:rPr>
        <w:t xml:space="preserve">, </w:t>
      </w:r>
      <w:r>
        <w:rPr>
          <w:bCs/>
        </w:rPr>
        <w:t>односно „законска дејства“ и „на сличан начин значајна дејства“. Формулација у ставу 1. – одлуке које „могу произвести правна дејства“ – је исувише непрецизна у односу на ко</w:t>
      </w:r>
      <w:r w:rsidR="004D7BA6">
        <w:rPr>
          <w:bCs/>
        </w:rPr>
        <w:t>н</w:t>
      </w:r>
      <w:r>
        <w:rPr>
          <w:bCs/>
        </w:rPr>
        <w:t xml:space="preserve">цепт „правних дејстава“ из </w:t>
      </w:r>
      <w:r w:rsidR="00CA510A" w:rsidRPr="006E4BB9">
        <w:rPr>
          <w:bCs/>
          <w:i/>
        </w:rPr>
        <w:t>GDPR</w:t>
      </w:r>
      <w:r w:rsidR="00904ABF" w:rsidRPr="006E4BB9">
        <w:rPr>
          <w:bCs/>
        </w:rPr>
        <w:t xml:space="preserve"> </w:t>
      </w:r>
      <w:r>
        <w:rPr>
          <w:bCs/>
        </w:rPr>
        <w:t xml:space="preserve">и истовремено не обухвата „на сличан начин значајне ефекте“. Формулација из става </w:t>
      </w:r>
      <w:r w:rsidR="00904ABF" w:rsidRPr="006E4BB9">
        <w:rPr>
          <w:bCs/>
        </w:rPr>
        <w:t>1</w:t>
      </w:r>
      <w:r>
        <w:rPr>
          <w:bCs/>
        </w:rPr>
        <w:t>. у</w:t>
      </w:r>
      <w:r w:rsidR="00904ABF" w:rsidRPr="006E4BB9">
        <w:rPr>
          <w:bCs/>
        </w:rPr>
        <w:t xml:space="preserve"> </w:t>
      </w:r>
      <w:r>
        <w:rPr>
          <w:bCs/>
        </w:rPr>
        <w:t xml:space="preserve">вези са одлукама које „значајно утичу на његов или њен правни положај“ поново не одговарају у потпуности поменутим </w:t>
      </w:r>
      <w:r w:rsidR="007A0156">
        <w:rPr>
          <w:bCs/>
        </w:rPr>
        <w:t xml:space="preserve">концептима из </w:t>
      </w:r>
      <w:r w:rsidR="00CA510A" w:rsidRPr="006E4BB9">
        <w:rPr>
          <w:bCs/>
          <w:i/>
        </w:rPr>
        <w:t>GDPR</w:t>
      </w:r>
      <w:r w:rsidR="007A0156">
        <w:rPr>
          <w:bCs/>
        </w:rPr>
        <w:t xml:space="preserve">. Као закључак, сугестија би била да се формулација прилагоди формулацији која је употребљена у </w:t>
      </w:r>
      <w:r w:rsidR="00CA510A" w:rsidRPr="006E4BB9">
        <w:rPr>
          <w:bCs/>
          <w:i/>
        </w:rPr>
        <w:t>GDPR</w:t>
      </w:r>
      <w:r w:rsidR="00904ABF" w:rsidRPr="006E4BB9">
        <w:rPr>
          <w:bCs/>
        </w:rPr>
        <w:t xml:space="preserve"> </w:t>
      </w:r>
      <w:r w:rsidR="007A0156">
        <w:rPr>
          <w:bCs/>
        </w:rPr>
        <w:t xml:space="preserve">у члану </w:t>
      </w:r>
      <w:r w:rsidR="00904ABF" w:rsidRPr="006E4BB9">
        <w:rPr>
          <w:bCs/>
        </w:rPr>
        <w:t>22</w:t>
      </w:r>
      <w:r w:rsidR="007A0156">
        <w:rPr>
          <w:bCs/>
        </w:rPr>
        <w:t xml:space="preserve">. став </w:t>
      </w:r>
      <w:r w:rsidR="00904ABF" w:rsidRPr="006E4BB9">
        <w:rPr>
          <w:bCs/>
        </w:rPr>
        <w:t>(1).</w:t>
      </w:r>
      <w:r w:rsidR="00452672" w:rsidRPr="006E4BB9">
        <w:rPr>
          <w:bCs/>
        </w:rPr>
        <w:t xml:space="preserve"> </w:t>
      </w:r>
      <w:r w:rsidR="007A0156" w:rsidRPr="006E4BB9">
        <w:rPr>
          <w:b/>
          <w:bCs/>
        </w:rPr>
        <w:t>МО</w:t>
      </w:r>
      <w:r w:rsidR="007A0156">
        <w:rPr>
          <w:b/>
          <w:bCs/>
        </w:rPr>
        <w:t xml:space="preserve">ГУЋЕ ЈЕ </w:t>
      </w:r>
      <w:r w:rsidR="007A0156" w:rsidRPr="006E4BB9">
        <w:rPr>
          <w:b/>
          <w:bCs/>
        </w:rPr>
        <w:t>ДА ПОСТОЈИ НЕДОСЛЕДНОСТ У ПРЕВОДУ У ПОГЛЕДУ ОВОГ КОМЕНТАРА</w:t>
      </w:r>
      <w:r w:rsidR="00BD3CDA" w:rsidRPr="006E4BB9">
        <w:rPr>
          <w:b/>
          <w:bCs/>
        </w:rPr>
        <w:t>.</w:t>
      </w:r>
      <w:r w:rsidR="00E7302F" w:rsidRPr="00E7302F">
        <w:rPr>
          <w:b/>
          <w:bCs/>
          <w:lang w:val="sr-Cyrl-RS"/>
        </w:rPr>
        <w:t xml:space="preserve"> </w:t>
      </w:r>
      <w:r w:rsidR="00E7302F">
        <w:rPr>
          <w:b/>
          <w:bCs/>
          <w:lang w:val="sr-Cyrl-RS"/>
        </w:rPr>
        <w:t>(</w:t>
      </w:r>
      <w:r w:rsidR="00E7302F" w:rsidRPr="00E7302F">
        <w:rPr>
          <w:b/>
          <w:bCs/>
          <w:i/>
          <w:lang w:val="sr-Cyrl-RS"/>
        </w:rPr>
        <w:t xml:space="preserve">Напомена Повереника – </w:t>
      </w:r>
      <w:r w:rsidR="00E7302F">
        <w:rPr>
          <w:b/>
          <w:bCs/>
          <w:i/>
          <w:lang w:val="sr-Cyrl-RS"/>
        </w:rPr>
        <w:t xml:space="preserve">ова </w:t>
      </w:r>
      <w:r w:rsidR="00E7302F" w:rsidRPr="00E7302F">
        <w:rPr>
          <w:b/>
          <w:bCs/>
          <w:i/>
          <w:lang w:val="sr-Cyrl-RS"/>
        </w:rPr>
        <w:t xml:space="preserve">велика, </w:t>
      </w:r>
      <w:proofErr w:type="spellStart"/>
      <w:r w:rsidR="00E7302F" w:rsidRPr="00E7302F">
        <w:rPr>
          <w:b/>
          <w:bCs/>
          <w:i/>
          <w:lang w:val="sr-Cyrl-RS"/>
        </w:rPr>
        <w:t>болдована</w:t>
      </w:r>
      <w:proofErr w:type="spellEnd"/>
      <w:r w:rsidR="00E7302F" w:rsidRPr="00E7302F">
        <w:rPr>
          <w:b/>
          <w:bCs/>
          <w:i/>
          <w:lang w:val="sr-Cyrl-RS"/>
        </w:rPr>
        <w:t xml:space="preserve"> слова су унета од стране аутора овог документа</w:t>
      </w:r>
      <w:r w:rsidR="00E7302F">
        <w:rPr>
          <w:b/>
          <w:bCs/>
          <w:lang w:val="sr-Cyrl-RS"/>
        </w:rPr>
        <w:t>)</w:t>
      </w:r>
      <w:r w:rsidR="00E7302F" w:rsidRPr="006E4BB9">
        <w:rPr>
          <w:b/>
          <w:bCs/>
        </w:rPr>
        <w:t>.</w:t>
      </w:r>
    </w:p>
    <w:p w14:paraId="41C5E664" w14:textId="77777777" w:rsidR="00904ABF" w:rsidRPr="006E4BB9" w:rsidRDefault="007A0156" w:rsidP="00904ABF">
      <w:pPr>
        <w:spacing w:before="160"/>
        <w:jc w:val="both"/>
        <w:rPr>
          <w:b/>
          <w:bCs/>
        </w:rPr>
      </w:pPr>
      <w:bookmarkStart w:id="0" w:name="_GoBack"/>
      <w:bookmarkEnd w:id="0"/>
      <w:r>
        <w:rPr>
          <w:b/>
          <w:bCs/>
        </w:rPr>
        <w:t xml:space="preserve">Члан </w:t>
      </w:r>
      <w:r w:rsidR="00904ABF" w:rsidRPr="006E4BB9">
        <w:rPr>
          <w:b/>
          <w:bCs/>
        </w:rPr>
        <w:t>40:</w:t>
      </w:r>
    </w:p>
    <w:p w14:paraId="602474BA" w14:textId="77777777" w:rsidR="00904ABF" w:rsidRPr="006E4BB9" w:rsidRDefault="007A0156" w:rsidP="00904ABF">
      <w:pPr>
        <w:jc w:val="both"/>
      </w:pPr>
      <w:r>
        <w:t xml:space="preserve">У ставу </w:t>
      </w:r>
      <w:r w:rsidR="00904ABF" w:rsidRPr="006E4BB9">
        <w:t>1</w:t>
      </w:r>
      <w:r>
        <w:t>. је предвиђено</w:t>
      </w:r>
      <w:r w:rsidR="00904ABF" w:rsidRPr="006E4BB9">
        <w:t>:</w:t>
      </w:r>
    </w:p>
    <w:p w14:paraId="719EDAB6" w14:textId="77777777" w:rsidR="00904ABF" w:rsidRPr="006E4BB9" w:rsidRDefault="00CA12BF" w:rsidP="00904ABF">
      <w:pPr>
        <w:jc w:val="both"/>
        <w:rPr>
          <w:i/>
        </w:rPr>
      </w:pPr>
      <w:r>
        <w:rPr>
          <w:i/>
        </w:rPr>
        <w:lastRenderedPageBreak/>
        <w:t xml:space="preserve">Права и обавезе предвиђени </w:t>
      </w:r>
      <w:r w:rsidR="00904ABF" w:rsidRPr="006E4BB9">
        <w:rPr>
          <w:i/>
        </w:rPr>
        <w:t xml:space="preserve">/…/, </w:t>
      </w:r>
      <w:r>
        <w:rPr>
          <w:i/>
        </w:rPr>
        <w:t>могу бити ограничени у мери у којој су таква ограничења у складу са суштином основних права и слобода и ако то представља неопходну и сразмерну меру у демократском друштву за</w:t>
      </w:r>
      <w:r w:rsidR="00904ABF" w:rsidRPr="006E4BB9">
        <w:rPr>
          <w:i/>
        </w:rPr>
        <w:t>:</w:t>
      </w:r>
    </w:p>
    <w:p w14:paraId="76395B78" w14:textId="5054C0AE" w:rsidR="00904ABF" w:rsidRPr="006E4BB9" w:rsidRDefault="00CA12BF" w:rsidP="00904ABF">
      <w:pPr>
        <w:jc w:val="both"/>
      </w:pPr>
      <w:r>
        <w:t xml:space="preserve">Овај члан није у складу са </w:t>
      </w:r>
      <w:r w:rsidR="00CA510A" w:rsidRPr="006E4BB9">
        <w:rPr>
          <w:i/>
        </w:rPr>
        <w:t>GDPR</w:t>
      </w:r>
      <w:r w:rsidR="009421D3" w:rsidRPr="006E4BB9">
        <w:t xml:space="preserve"> </w:t>
      </w:r>
      <w:r>
        <w:t>и</w:t>
      </w:r>
      <w:r w:rsidR="009421D3" w:rsidRPr="006E4BB9">
        <w:t xml:space="preserve"> </w:t>
      </w:r>
      <w:r w:rsidR="00CA510A" w:rsidRPr="00CA12BF">
        <w:rPr>
          <w:i/>
        </w:rPr>
        <w:t>LED</w:t>
      </w:r>
      <w:r w:rsidR="009421D3" w:rsidRPr="006E4BB9">
        <w:t xml:space="preserve"> </w:t>
      </w:r>
      <w:r>
        <w:t xml:space="preserve">да се само неком одређеном законском мером могу ограничити права лица на које се подаци односе. Члан </w:t>
      </w:r>
      <w:r w:rsidR="00904ABF" w:rsidRPr="006E4BB9">
        <w:t>40</w:t>
      </w:r>
      <w:r>
        <w:t>.</w:t>
      </w:r>
      <w:r w:rsidR="00904ABF" w:rsidRPr="006E4BB9">
        <w:t xml:space="preserve"> (</w:t>
      </w:r>
      <w:r>
        <w:t xml:space="preserve">са упућивањем на члан </w:t>
      </w:r>
      <w:r w:rsidR="00904ABF" w:rsidRPr="006E4BB9">
        <w:t>23</w:t>
      </w:r>
      <w:r>
        <w:t>.</w:t>
      </w:r>
      <w:r w:rsidR="00904ABF" w:rsidRPr="006E4BB9">
        <w:t xml:space="preserve"> </w:t>
      </w:r>
      <w:r w:rsidR="00CA510A" w:rsidRPr="006E4BB9">
        <w:rPr>
          <w:i/>
        </w:rPr>
        <w:t>GDPR</w:t>
      </w:r>
      <w:r w:rsidR="00904ABF" w:rsidRPr="006E4BB9">
        <w:t xml:space="preserve">) </w:t>
      </w:r>
      <w:r>
        <w:t xml:space="preserve">треба сматрати општим оквиром за законодавца да уреди одређене области у којима </w:t>
      </w:r>
      <w:r w:rsidR="005574DC">
        <w:t xml:space="preserve">се права лица на која се подаци односе неопходно морају ограничити, а смерницама за </w:t>
      </w:r>
      <w:r w:rsidR="00D9516F">
        <w:t>руковаоце</w:t>
      </w:r>
      <w:r w:rsidR="005574DC">
        <w:t xml:space="preserve"> да одлучују када би било </w:t>
      </w:r>
      <w:r w:rsidR="001F342A">
        <w:t xml:space="preserve">одговарајуће </w:t>
      </w:r>
      <w:r w:rsidR="005574DC">
        <w:t>ограничити права лица на која се подаци односе</w:t>
      </w:r>
      <w:r w:rsidR="00904ABF" w:rsidRPr="006E4BB9">
        <w:t xml:space="preserve">. </w:t>
      </w:r>
      <w:r w:rsidR="001F342A">
        <w:t>Према правним тековинама ЕУ које су изведене из судске праксе Европског суда правде и признатих стандарда Европског суда за људска права</w:t>
      </w:r>
      <w:r w:rsidR="00904ABF" w:rsidRPr="006E4BB9">
        <w:t xml:space="preserve">, </w:t>
      </w:r>
      <w:r w:rsidR="001F342A">
        <w:rPr>
          <w:b/>
        </w:rPr>
        <w:t xml:space="preserve">права лица на која се подаци односе се могу ограничити само конкретним и јасном законском одредбом </w:t>
      </w:r>
      <w:r w:rsidR="00904ABF" w:rsidRPr="006E4BB9">
        <w:t>(</w:t>
      </w:r>
      <w:r w:rsidR="001F342A">
        <w:t xml:space="preserve">видети последњи став општих </w:t>
      </w:r>
      <w:r w:rsidR="00A4375C">
        <w:t>напомена</w:t>
      </w:r>
      <w:r w:rsidR="00904ABF" w:rsidRPr="006E4BB9">
        <w:t>).</w:t>
      </w:r>
      <w:r w:rsidR="00904ABF" w:rsidRPr="006E4BB9">
        <w:rPr>
          <w:b/>
        </w:rPr>
        <w:t xml:space="preserve"> </w:t>
      </w:r>
      <w:r w:rsidR="001F342A">
        <w:t>Одредб</w:t>
      </w:r>
      <w:r w:rsidR="009B3CBB">
        <w:t>а</w:t>
      </w:r>
      <w:r w:rsidR="001F342A">
        <w:t xml:space="preserve"> којом би се на одговарајући начин поштовали захтеви из </w:t>
      </w:r>
      <w:r w:rsidR="00CA510A" w:rsidRPr="006E4BB9">
        <w:rPr>
          <w:i/>
        </w:rPr>
        <w:t>GDPR</w:t>
      </w:r>
      <w:r w:rsidR="00904ABF" w:rsidRPr="006E4BB9">
        <w:t xml:space="preserve"> </w:t>
      </w:r>
      <w:r w:rsidR="001F342A">
        <w:t>би на пример могл</w:t>
      </w:r>
      <w:r w:rsidR="009B3CBB">
        <w:t>а да предвиђа</w:t>
      </w:r>
      <w:r w:rsidR="001F342A">
        <w:t xml:space="preserve"> следеће</w:t>
      </w:r>
      <w:r w:rsidR="00904ABF" w:rsidRPr="006E4BB9">
        <w:t>:</w:t>
      </w:r>
    </w:p>
    <w:p w14:paraId="11770568" w14:textId="77777777" w:rsidR="00904ABF" w:rsidRPr="006E4BB9" w:rsidRDefault="007C30F4" w:rsidP="00904ABF">
      <w:pPr>
        <w:jc w:val="both"/>
        <w:rPr>
          <w:i/>
        </w:rPr>
      </w:pPr>
      <w:r>
        <w:rPr>
          <w:i/>
        </w:rPr>
        <w:t>Права и обавезе предвиђени /…/, могу бити ограничени</w:t>
      </w:r>
      <w:r w:rsidR="00904ABF" w:rsidRPr="006E4BB9">
        <w:rPr>
          <w:i/>
        </w:rPr>
        <w:t xml:space="preserve"> </w:t>
      </w:r>
      <w:r>
        <w:rPr>
          <w:b/>
          <w:i/>
          <w:u w:val="single"/>
        </w:rPr>
        <w:t>посебним законодавним актом</w:t>
      </w:r>
      <w:r w:rsidR="00904ABF" w:rsidRPr="006E4BB9">
        <w:rPr>
          <w:b/>
          <w:i/>
          <w:u w:val="single"/>
        </w:rPr>
        <w:t xml:space="preserve"> </w:t>
      </w:r>
      <w:r>
        <w:rPr>
          <w:i/>
        </w:rPr>
        <w:t>у мери у којима се тим ограничењима поштује суштина основних права и слобода и ако је то неопходно и сразмерно у демократском друштву за</w:t>
      </w:r>
      <w:r w:rsidR="00904ABF" w:rsidRPr="006E4BB9">
        <w:rPr>
          <w:i/>
        </w:rPr>
        <w:t>:</w:t>
      </w:r>
    </w:p>
    <w:p w14:paraId="1E170F2C" w14:textId="77777777" w:rsidR="00904ABF" w:rsidRPr="006E4BB9" w:rsidRDefault="007C30F4" w:rsidP="00904ABF">
      <w:pPr>
        <w:jc w:val="both"/>
        <w:rPr>
          <w:b/>
        </w:rPr>
      </w:pPr>
      <w:r>
        <w:t xml:space="preserve">Намера члана </w:t>
      </w:r>
      <w:r w:rsidR="00904ABF" w:rsidRPr="006E4BB9">
        <w:t>23</w:t>
      </w:r>
      <w:r>
        <w:t>. став</w:t>
      </w:r>
      <w:r w:rsidR="00904ABF" w:rsidRPr="006E4BB9">
        <w:t xml:space="preserve"> (2) </w:t>
      </w:r>
      <w:r w:rsidR="00CA510A" w:rsidRPr="006E4BB9">
        <w:rPr>
          <w:i/>
        </w:rPr>
        <w:t>GDPR</w:t>
      </w:r>
      <w:r>
        <w:t xml:space="preserve"> је да се националним законодавцима пружи смерница за усвајање посебних законодавних одредби које су довољно прецизне, да би обезбедили правну јасноћу и извесност када се ограничава обим основних права и слобода лица на која се подаци односе</w:t>
      </w:r>
      <w:r w:rsidR="00904ABF" w:rsidRPr="006E4BB9">
        <w:t xml:space="preserve">. </w:t>
      </w:r>
    </w:p>
    <w:p w14:paraId="75ADBAC9" w14:textId="5E70BCEF" w:rsidR="00904ABF" w:rsidRPr="006E4BB9" w:rsidRDefault="007C30F4" w:rsidP="00904ABF">
      <w:pPr>
        <w:jc w:val="both"/>
      </w:pPr>
      <w:r>
        <w:t xml:space="preserve">Имајући у виду све претходно наведено, члан </w:t>
      </w:r>
      <w:r w:rsidR="00904ABF" w:rsidRPr="006E4BB9">
        <w:t>40</w:t>
      </w:r>
      <w:r>
        <w:t>. није</w:t>
      </w:r>
      <w:r w:rsidR="00904ABF" w:rsidRPr="006E4BB9">
        <w:t xml:space="preserve"> </w:t>
      </w:r>
      <w:r>
        <w:t xml:space="preserve">у складу са правним тековинама ЕУ </w:t>
      </w:r>
      <w:r w:rsidR="00904ABF" w:rsidRPr="006E4BB9">
        <w:t>(</w:t>
      </w:r>
      <w:r>
        <w:t xml:space="preserve">видети такође опште </w:t>
      </w:r>
      <w:r w:rsidR="00A4375C">
        <w:t>напомене</w:t>
      </w:r>
      <w:r w:rsidR="00904ABF" w:rsidRPr="006E4BB9">
        <w:t>).</w:t>
      </w:r>
    </w:p>
    <w:p w14:paraId="24E3ACE1" w14:textId="260D01FB" w:rsidR="00904ABF" w:rsidRPr="006E4BB9" w:rsidRDefault="00767DCC" w:rsidP="00904ABF">
      <w:pPr>
        <w:jc w:val="both"/>
      </w:pPr>
      <w:r>
        <w:t xml:space="preserve">У ставу </w:t>
      </w:r>
      <w:r w:rsidR="00904ABF" w:rsidRPr="006E4BB9">
        <w:t>3</w:t>
      </w:r>
      <w:r>
        <w:t>. је</w:t>
      </w:r>
      <w:r w:rsidR="00904ABF" w:rsidRPr="006E4BB9">
        <w:t xml:space="preserve"> </w:t>
      </w:r>
      <w:r>
        <w:t xml:space="preserve">предвиђено да исто важи и за обраду од стране надлежних органа која се </w:t>
      </w:r>
      <w:r>
        <w:rPr>
          <w:i/>
        </w:rPr>
        <w:t>не</w:t>
      </w:r>
      <w:r w:rsidR="00904ABF" w:rsidRPr="006E4BB9">
        <w:t xml:space="preserve"> </w:t>
      </w:r>
      <w:r>
        <w:t>врши у посебне сврхе</w:t>
      </w:r>
      <w:r w:rsidR="00904ABF" w:rsidRPr="006E4BB9">
        <w:t xml:space="preserve">. </w:t>
      </w:r>
      <w:r>
        <w:t xml:space="preserve">Овде треба напоменути да свака обрада података о личности од стране „надлежних органа“ која се не врши у „посебне сврхе“ треба да потпада под режим опште заштите података </w:t>
      </w:r>
      <w:r w:rsidR="00904ABF" w:rsidRPr="006E4BB9">
        <w:t>(</w:t>
      </w:r>
      <w:r>
        <w:t xml:space="preserve">видети опште </w:t>
      </w:r>
      <w:r w:rsidR="00A4375C">
        <w:t>напомене</w:t>
      </w:r>
      <w:r w:rsidR="00904ABF" w:rsidRPr="006E4BB9">
        <w:t>).</w:t>
      </w:r>
    </w:p>
    <w:p w14:paraId="4D6BF0F4" w14:textId="77777777" w:rsidR="00904ABF" w:rsidRPr="006E4BB9" w:rsidRDefault="00904ABF" w:rsidP="00904ABF">
      <w:pPr>
        <w:spacing w:before="240" w:after="200" w:line="240" w:lineRule="auto"/>
        <w:jc w:val="both"/>
        <w:rPr>
          <w:b/>
          <w:bCs/>
        </w:rPr>
      </w:pPr>
      <w:r w:rsidRPr="006E4BB9">
        <w:rPr>
          <w:b/>
          <w:bCs/>
        </w:rPr>
        <w:t xml:space="preserve">IV. </w:t>
      </w:r>
      <w:r w:rsidR="009B3CBB">
        <w:rPr>
          <w:b/>
          <w:bCs/>
        </w:rPr>
        <w:t>РУКОВАЛАЦ</w:t>
      </w:r>
      <w:r w:rsidR="000E0A67">
        <w:rPr>
          <w:b/>
          <w:bCs/>
        </w:rPr>
        <w:t xml:space="preserve"> И ОБРАЂИВАЧ</w:t>
      </w:r>
    </w:p>
    <w:p w14:paraId="4107A9D7" w14:textId="77777777" w:rsidR="00904ABF" w:rsidRPr="006E4BB9" w:rsidRDefault="00767DCC" w:rsidP="00904ABF">
      <w:pPr>
        <w:jc w:val="both"/>
        <w:rPr>
          <w:b/>
          <w:bCs/>
        </w:rPr>
      </w:pPr>
      <w:r>
        <w:rPr>
          <w:b/>
          <w:bCs/>
        </w:rPr>
        <w:t>Члан</w:t>
      </w:r>
      <w:r w:rsidR="00904ABF" w:rsidRPr="006E4BB9">
        <w:rPr>
          <w:b/>
          <w:bCs/>
        </w:rPr>
        <w:t xml:space="preserve"> 41:</w:t>
      </w:r>
    </w:p>
    <w:p w14:paraId="5E0B77D8" w14:textId="77777777" w:rsidR="00904ABF" w:rsidRPr="006E4BB9" w:rsidRDefault="00CA510A" w:rsidP="00904ABF">
      <w:pPr>
        <w:jc w:val="both"/>
      </w:pPr>
      <w:r w:rsidRPr="006E4BB9">
        <w:rPr>
          <w:i/>
        </w:rPr>
        <w:t>GDPR</w:t>
      </w:r>
      <w:r w:rsidR="00767DCC">
        <w:t xml:space="preserve"> намеће обавезу за </w:t>
      </w:r>
      <w:r w:rsidR="000E0A67">
        <w:t>руковаоца</w:t>
      </w:r>
      <w:r w:rsidR="00767DCC">
        <w:t xml:space="preserve"> да спроводи одговарајуће техничке и организационе мере како би обезбедио и како би могао да докаже да се обрада врши у складу са </w:t>
      </w:r>
      <w:r w:rsidRPr="006E4BB9">
        <w:rPr>
          <w:i/>
        </w:rPr>
        <w:t>GDPR</w:t>
      </w:r>
      <w:r w:rsidR="00904ABF" w:rsidRPr="006E4BB9">
        <w:t xml:space="preserve">. </w:t>
      </w:r>
      <w:r w:rsidR="00767DCC">
        <w:t xml:space="preserve">Законом је предвиђено да </w:t>
      </w:r>
      <w:r w:rsidR="000E0A67">
        <w:t>руковалац</w:t>
      </w:r>
      <w:r w:rsidR="00767DCC">
        <w:t xml:space="preserve"> с</w:t>
      </w:r>
      <w:r w:rsidR="000E0A67">
        <w:t>п</w:t>
      </w:r>
      <w:r w:rsidR="00767DCC">
        <w:t>роводи одговарајуће техничке, кадровске и организационе мере. Кадровске мере се односе на особље и као такве су део организационих мера</w:t>
      </w:r>
      <w:r w:rsidR="00904ABF" w:rsidRPr="006E4BB9">
        <w:t xml:space="preserve">. </w:t>
      </w:r>
      <w:r w:rsidR="00767DCC">
        <w:t>Стога не постоји потреба да се оне посебно спомињу у овом члану</w:t>
      </w:r>
      <w:r w:rsidR="00904ABF" w:rsidRPr="006E4BB9">
        <w:t xml:space="preserve">. </w:t>
      </w:r>
      <w:r w:rsidR="007C30F4">
        <w:t>То осим тога даје могућност погрешног тумачења да су кадровске мере</w:t>
      </w:r>
      <w:r w:rsidR="00904ABF" w:rsidRPr="006E4BB9">
        <w:t xml:space="preserve"> (</w:t>
      </w:r>
      <w:r w:rsidR="007C30F4">
        <w:t>особље</w:t>
      </w:r>
      <w:r w:rsidR="00904ABF" w:rsidRPr="006E4BB9">
        <w:t>)</w:t>
      </w:r>
      <w:r w:rsidR="007C30F4">
        <w:t xml:space="preserve"> од већег значаја од осталих организационих мера</w:t>
      </w:r>
      <w:r w:rsidR="00904ABF" w:rsidRPr="006E4BB9">
        <w:t xml:space="preserve">. </w:t>
      </w:r>
      <w:r w:rsidR="007C30F4">
        <w:t>Ми због тога сугеришемо да се избаци реч „кадровске“. Исто важи и за остале чланове Закона који садрже исти текст</w:t>
      </w:r>
      <w:r w:rsidR="00904ABF" w:rsidRPr="006E4BB9">
        <w:t>.</w:t>
      </w:r>
    </w:p>
    <w:p w14:paraId="79017208" w14:textId="77777777" w:rsidR="00904ABF" w:rsidRPr="006E4BB9" w:rsidRDefault="009B3CBB" w:rsidP="00904ABF">
      <w:pPr>
        <w:jc w:val="both"/>
        <w:rPr>
          <w:b/>
          <w:bCs/>
        </w:rPr>
      </w:pPr>
      <w:r>
        <w:rPr>
          <w:b/>
          <w:bCs/>
        </w:rPr>
        <w:t xml:space="preserve">Члан </w:t>
      </w:r>
      <w:r w:rsidR="00904ABF" w:rsidRPr="006E4BB9">
        <w:rPr>
          <w:b/>
          <w:bCs/>
        </w:rPr>
        <w:t>42:</w:t>
      </w:r>
    </w:p>
    <w:p w14:paraId="47809192" w14:textId="77777777" w:rsidR="00904ABF" w:rsidRPr="006E4BB9" w:rsidRDefault="009B3CBB" w:rsidP="00904ABF">
      <w:pPr>
        <w:jc w:val="both"/>
      </w:pPr>
      <w:r>
        <w:t xml:space="preserve">Ми предлажемо да наслов члана следи </w:t>
      </w:r>
      <w:r w:rsidR="00CA510A" w:rsidRPr="006E4BB9">
        <w:rPr>
          <w:i/>
        </w:rPr>
        <w:t>GDPR</w:t>
      </w:r>
      <w:r w:rsidR="00904ABF" w:rsidRPr="006E4BB9">
        <w:t xml:space="preserve">: </w:t>
      </w:r>
      <w:r>
        <w:t>„Интегрисана и техничка заштита података“</w:t>
      </w:r>
      <w:r w:rsidR="00904ABF" w:rsidRPr="006E4BB9">
        <w:t xml:space="preserve">. </w:t>
      </w:r>
      <w:r w:rsidR="00DA0877">
        <w:t xml:space="preserve">То је пресудно важно и значајно начело </w:t>
      </w:r>
      <w:r w:rsidR="00904ABF" w:rsidRPr="006E4BB9">
        <w:t>(</w:t>
      </w:r>
      <w:r w:rsidR="00DA0877">
        <w:t>минимизација података</w:t>
      </w:r>
      <w:r w:rsidR="00904ABF" w:rsidRPr="006E4BB9">
        <w:t xml:space="preserve">) </w:t>
      </w:r>
      <w:r w:rsidR="00CA510A" w:rsidRPr="006E4BB9">
        <w:rPr>
          <w:i/>
        </w:rPr>
        <w:t>GDPR</w:t>
      </w:r>
      <w:r w:rsidR="00904ABF" w:rsidRPr="006E4BB9">
        <w:t xml:space="preserve"> </w:t>
      </w:r>
      <w:r w:rsidR="00DA0877">
        <w:t xml:space="preserve">којом се јасно дели време утврђивања средстава за обраду и сама обрада и истовремено има на уму сваку специфичну сврху обраде, па је стога треба следити како би се обезбедило да захтеви из </w:t>
      </w:r>
      <w:r w:rsidR="00CA510A" w:rsidRPr="006E4BB9">
        <w:rPr>
          <w:i/>
        </w:rPr>
        <w:t>GDPR</w:t>
      </w:r>
      <w:r w:rsidR="00DA0877">
        <w:t xml:space="preserve"> буду задовољени</w:t>
      </w:r>
      <w:r w:rsidR="00904ABF" w:rsidRPr="006E4BB9">
        <w:t>.</w:t>
      </w:r>
    </w:p>
    <w:p w14:paraId="2A5D60D6" w14:textId="77777777" w:rsidR="00904ABF" w:rsidRPr="006E4BB9" w:rsidRDefault="00DA0877" w:rsidP="00904ABF">
      <w:pPr>
        <w:spacing w:before="120" w:after="0" w:line="240" w:lineRule="auto"/>
        <w:jc w:val="both"/>
      </w:pPr>
      <w:r>
        <w:lastRenderedPageBreak/>
        <w:t xml:space="preserve">Према ставу 3, мере на које се упућује у ставу </w:t>
      </w:r>
      <w:r w:rsidR="00904ABF" w:rsidRPr="006E4BB9">
        <w:t>2</w:t>
      </w:r>
      <w:r>
        <w:t>.</w:t>
      </w:r>
      <w:r w:rsidR="00904ABF" w:rsidRPr="006E4BB9">
        <w:t xml:space="preserve"> </w:t>
      </w:r>
      <w:r>
        <w:t>обезбеђују</w:t>
      </w:r>
      <w:r w:rsidR="00904ABF" w:rsidRPr="006E4BB9">
        <w:t xml:space="preserve"> </w:t>
      </w:r>
      <w:r>
        <w:t xml:space="preserve">да подаци о личности не буду стандардно учињени доступним без интервенције појединца на неодређени број физичких лица. Постојећом формулацијом би се </w:t>
      </w:r>
      <w:r w:rsidR="00D9516F">
        <w:t>руковаоци</w:t>
      </w:r>
      <w:r>
        <w:t xml:space="preserve"> могли навести на погрешан закључак да је ово једини циљ који се обезбеђује мерама на које се упућује у ставу </w:t>
      </w:r>
      <w:r w:rsidR="00904ABF" w:rsidRPr="006E4BB9">
        <w:t>2</w:t>
      </w:r>
      <w:r>
        <w:t>. Стога би решење из</w:t>
      </w:r>
      <w:r w:rsidR="00794F8A">
        <w:t xml:space="preserve"> члана 25. став 2. </w:t>
      </w:r>
      <w:r w:rsidR="00CA510A" w:rsidRPr="006E4BB9">
        <w:rPr>
          <w:i/>
        </w:rPr>
        <w:t>GDPR</w:t>
      </w:r>
      <w:r w:rsidR="00794F8A">
        <w:t xml:space="preserve"> </w:t>
      </w:r>
      <w:r w:rsidR="00904ABF" w:rsidRPr="006E4BB9">
        <w:t>(</w:t>
      </w:r>
      <w:r w:rsidR="00794F8A">
        <w:t>„нарочито“</w:t>
      </w:r>
      <w:r w:rsidR="00904ABF" w:rsidRPr="006E4BB9">
        <w:t>)</w:t>
      </w:r>
      <w:r w:rsidR="00794F8A">
        <w:t xml:space="preserve"> било примереније</w:t>
      </w:r>
      <w:r w:rsidR="00904ABF" w:rsidRPr="006E4BB9">
        <w:t>.</w:t>
      </w:r>
    </w:p>
    <w:p w14:paraId="5B58C091" w14:textId="77777777" w:rsidR="00904ABF" w:rsidRPr="006E4BB9" w:rsidRDefault="00794F8A" w:rsidP="00904ABF">
      <w:pPr>
        <w:spacing w:before="120" w:after="0" w:line="240" w:lineRule="auto"/>
        <w:jc w:val="both"/>
        <w:rPr>
          <w:b/>
          <w:bCs/>
        </w:rPr>
      </w:pPr>
      <w:r>
        <w:rPr>
          <w:b/>
          <w:bCs/>
        </w:rPr>
        <w:t>Члан</w:t>
      </w:r>
      <w:r w:rsidR="00904ABF" w:rsidRPr="006E4BB9">
        <w:rPr>
          <w:b/>
          <w:bCs/>
        </w:rPr>
        <w:t xml:space="preserve"> 44:</w:t>
      </w:r>
    </w:p>
    <w:p w14:paraId="76E057CF" w14:textId="77777777" w:rsidR="00904ABF" w:rsidRPr="006E4BB9" w:rsidRDefault="00794F8A" w:rsidP="00904ABF">
      <w:pPr>
        <w:spacing w:before="120" w:after="0" w:line="240" w:lineRule="auto"/>
        <w:jc w:val="both"/>
      </w:pPr>
      <w:r>
        <w:t xml:space="preserve">Ставом </w:t>
      </w:r>
      <w:r w:rsidR="00904ABF" w:rsidRPr="006E4BB9">
        <w:t>3</w:t>
      </w:r>
      <w:r>
        <w:t>.</w:t>
      </w:r>
      <w:r w:rsidR="00904ABF" w:rsidRPr="006E4BB9">
        <w:t xml:space="preserve"> </w:t>
      </w:r>
      <w:r>
        <w:t>се</w:t>
      </w:r>
      <w:r w:rsidR="00904ABF" w:rsidRPr="006E4BB9">
        <w:t xml:space="preserve"> </w:t>
      </w:r>
      <w:r>
        <w:t>предвиђа могућност подношења притужби, тужби или других правних поступака</w:t>
      </w:r>
      <w:r w:rsidR="00904ABF" w:rsidRPr="006E4BB9">
        <w:t xml:space="preserve"> </w:t>
      </w:r>
      <w:r>
        <w:rPr>
          <w:u w:val="single"/>
        </w:rPr>
        <w:t>на које се упућује у овом Закону</w:t>
      </w:r>
      <w:r>
        <w:t xml:space="preserve"> против руковаоца</w:t>
      </w:r>
      <w:r w:rsidR="000E0A67">
        <w:t xml:space="preserve"> или обрађивача</w:t>
      </w:r>
      <w:r w:rsidR="00904ABF" w:rsidRPr="006E4BB9">
        <w:t xml:space="preserve">. </w:t>
      </w:r>
      <w:r>
        <w:t>Ми се питамо да ли национално законодавство Републике Србије можда предвиђа неке друге правне</w:t>
      </w:r>
      <w:r w:rsidR="00D9516F">
        <w:t xml:space="preserve"> </w:t>
      </w:r>
      <w:r>
        <w:t>поступке који би могли бити покренути против њих у складу са неким другим националним правом? Ако је то тако, онда би требало размотрити измену ове одредбе у том смислу</w:t>
      </w:r>
      <w:r w:rsidR="00904ABF" w:rsidRPr="006E4BB9">
        <w:t>.</w:t>
      </w:r>
    </w:p>
    <w:p w14:paraId="179597F0" w14:textId="77777777" w:rsidR="00904ABF" w:rsidRPr="006E4BB9" w:rsidRDefault="00794F8A" w:rsidP="00904ABF">
      <w:pPr>
        <w:spacing w:before="120" w:after="0" w:line="240" w:lineRule="auto"/>
        <w:jc w:val="both"/>
        <w:rPr>
          <w:b/>
          <w:bCs/>
        </w:rPr>
      </w:pPr>
      <w:r>
        <w:rPr>
          <w:b/>
          <w:bCs/>
        </w:rPr>
        <w:t>Члан</w:t>
      </w:r>
      <w:r w:rsidR="00904ABF" w:rsidRPr="006E4BB9">
        <w:rPr>
          <w:b/>
          <w:bCs/>
        </w:rPr>
        <w:t xml:space="preserve"> 45:</w:t>
      </w:r>
    </w:p>
    <w:p w14:paraId="60F28FDA" w14:textId="77777777" w:rsidR="00904ABF" w:rsidRPr="006E4BB9" w:rsidRDefault="00794F8A" w:rsidP="00904ABF">
      <w:pPr>
        <w:spacing w:before="120" w:after="0" w:line="240" w:lineRule="auto"/>
        <w:jc w:val="both"/>
      </w:pPr>
      <w:r>
        <w:t xml:space="preserve">Ставом </w:t>
      </w:r>
      <w:r w:rsidR="00904ABF" w:rsidRPr="006E4BB9">
        <w:t>4</w:t>
      </w:r>
      <w:r>
        <w:t>.</w:t>
      </w:r>
      <w:r w:rsidR="00904ABF" w:rsidRPr="006E4BB9">
        <w:t xml:space="preserve"> </w:t>
      </w:r>
      <w:r>
        <w:t>се утврђује са</w:t>
      </w:r>
      <w:r w:rsidR="000E0A67">
        <w:t>д</w:t>
      </w:r>
      <w:r>
        <w:t>ржај</w:t>
      </w:r>
      <w:r w:rsidR="00904ABF" w:rsidRPr="006E4BB9">
        <w:t xml:space="preserve"> (8 </w:t>
      </w:r>
      <w:r>
        <w:t>обавезних категорија</w:t>
      </w:r>
      <w:r w:rsidR="00904ABF" w:rsidRPr="006E4BB9">
        <w:t xml:space="preserve">) </w:t>
      </w:r>
      <w:r>
        <w:t>уговора или неког другог правно обавезујућег акта између руковаоца</w:t>
      </w:r>
      <w:r w:rsidR="000E0A67">
        <w:t xml:space="preserve"> и обрађивача</w:t>
      </w:r>
      <w:r w:rsidR="00904ABF" w:rsidRPr="006E4BB9">
        <w:t xml:space="preserve">. </w:t>
      </w:r>
      <w:r w:rsidR="000B5666">
        <w:t xml:space="preserve">Према </w:t>
      </w:r>
      <w:r w:rsidR="00CA510A" w:rsidRPr="006E4BB9">
        <w:rPr>
          <w:i/>
        </w:rPr>
        <w:t>GDPR</w:t>
      </w:r>
      <w:r w:rsidR="000B5666">
        <w:t xml:space="preserve"> те категорије нису једине и могу се укључити и други садржаји</w:t>
      </w:r>
      <w:r w:rsidR="00904ABF" w:rsidRPr="006E4BB9">
        <w:t xml:space="preserve">. </w:t>
      </w:r>
      <w:r w:rsidR="000B5666">
        <w:t xml:space="preserve">Стога би решење из члана 28. став 3. </w:t>
      </w:r>
      <w:r w:rsidR="00CA510A" w:rsidRPr="006E4BB9">
        <w:rPr>
          <w:i/>
        </w:rPr>
        <w:t>GDPR</w:t>
      </w:r>
      <w:r w:rsidR="000B5666">
        <w:t xml:space="preserve"> </w:t>
      </w:r>
      <w:r w:rsidR="00904ABF" w:rsidRPr="006E4BB9">
        <w:t>(</w:t>
      </w:r>
      <w:r w:rsidR="000B5666">
        <w:t>„нарочито“</w:t>
      </w:r>
      <w:r w:rsidR="00904ABF" w:rsidRPr="006E4BB9">
        <w:t>)</w:t>
      </w:r>
      <w:r w:rsidR="000B5666">
        <w:t xml:space="preserve"> било примереније</w:t>
      </w:r>
      <w:r w:rsidR="00904ABF" w:rsidRPr="006E4BB9">
        <w:t>.</w:t>
      </w:r>
    </w:p>
    <w:p w14:paraId="54858AD7" w14:textId="77777777" w:rsidR="00904ABF" w:rsidRPr="006E4BB9" w:rsidRDefault="000B5666" w:rsidP="00904ABF">
      <w:pPr>
        <w:spacing w:before="120" w:after="0" w:line="240" w:lineRule="auto"/>
        <w:jc w:val="both"/>
      </w:pPr>
      <w:r>
        <w:t xml:space="preserve">Ставом </w:t>
      </w:r>
      <w:r w:rsidR="00904ABF" w:rsidRPr="006E4BB9">
        <w:t>5</w:t>
      </w:r>
      <w:r>
        <w:t>.</w:t>
      </w:r>
      <w:r w:rsidR="00904ABF" w:rsidRPr="006E4BB9">
        <w:t xml:space="preserve"> </w:t>
      </w:r>
      <w:r>
        <w:t>се</w:t>
      </w:r>
      <w:r w:rsidR="00904ABF" w:rsidRPr="006E4BB9">
        <w:t xml:space="preserve"> </w:t>
      </w:r>
      <w:r>
        <w:t xml:space="preserve">предвиђа да </w:t>
      </w:r>
      <w:r w:rsidR="000E0A67">
        <w:t>обрађивач</w:t>
      </w:r>
      <w:r>
        <w:t xml:space="preserve"> обавести </w:t>
      </w:r>
      <w:r w:rsidR="000E0A67">
        <w:t>руковаоца</w:t>
      </w:r>
      <w:r>
        <w:t xml:space="preserve"> без непотребног одлагања, ако сматра да писана упутства примљена од </w:t>
      </w:r>
      <w:r w:rsidR="000E0A67">
        <w:t>руковаоца</w:t>
      </w:r>
      <w:r>
        <w:t xml:space="preserve"> нису у складу са овим Законом или неким другим законом који уређује заштиту података о личности</w:t>
      </w:r>
      <w:r w:rsidR="00904ABF" w:rsidRPr="006E4BB9">
        <w:rPr>
          <w:szCs w:val="24"/>
        </w:rPr>
        <w:t xml:space="preserve">. </w:t>
      </w:r>
      <w:r>
        <w:rPr>
          <w:szCs w:val="24"/>
        </w:rPr>
        <w:t>Временски период</w:t>
      </w:r>
      <w:r w:rsidR="00904ABF" w:rsidRPr="006E4BB9">
        <w:rPr>
          <w:szCs w:val="24"/>
        </w:rPr>
        <w:t xml:space="preserve"> (</w:t>
      </w:r>
      <w:r>
        <w:rPr>
          <w:szCs w:val="24"/>
        </w:rPr>
        <w:t>„без непотребног одлагања“</w:t>
      </w:r>
      <w:r w:rsidR="00904ABF" w:rsidRPr="006E4BB9">
        <w:rPr>
          <w:szCs w:val="24"/>
        </w:rPr>
        <w:t xml:space="preserve">) </w:t>
      </w:r>
      <w:r>
        <w:rPr>
          <w:szCs w:val="24"/>
        </w:rPr>
        <w:t xml:space="preserve">је помало неодређен, нарочито у поређењу са роком утврђеним у </w:t>
      </w:r>
      <w:r w:rsidR="00CA510A" w:rsidRPr="006E4BB9">
        <w:rPr>
          <w:i/>
          <w:szCs w:val="24"/>
        </w:rPr>
        <w:t>GDPR</w:t>
      </w:r>
      <w:r w:rsidR="00904ABF" w:rsidRPr="006E4BB9">
        <w:rPr>
          <w:szCs w:val="24"/>
        </w:rPr>
        <w:t xml:space="preserve"> (</w:t>
      </w:r>
      <w:r>
        <w:rPr>
          <w:szCs w:val="24"/>
        </w:rPr>
        <w:t>„одмах“)</w:t>
      </w:r>
      <w:r w:rsidR="00904ABF" w:rsidRPr="006E4BB9">
        <w:rPr>
          <w:szCs w:val="24"/>
        </w:rPr>
        <w:t xml:space="preserve">. </w:t>
      </w:r>
    </w:p>
    <w:p w14:paraId="222C427C" w14:textId="77777777" w:rsidR="00904ABF" w:rsidRPr="006E4BB9" w:rsidRDefault="000B5666" w:rsidP="00904ABF">
      <w:pPr>
        <w:spacing w:before="120" w:after="0" w:line="240" w:lineRule="auto"/>
        <w:jc w:val="both"/>
        <w:rPr>
          <w:szCs w:val="24"/>
        </w:rPr>
      </w:pPr>
      <w:r>
        <w:t xml:space="preserve">Ставом </w:t>
      </w:r>
      <w:r w:rsidR="00904ABF" w:rsidRPr="006E4BB9">
        <w:t>7</w:t>
      </w:r>
      <w:r>
        <w:t>.</w:t>
      </w:r>
      <w:r w:rsidR="00904ABF" w:rsidRPr="006E4BB9">
        <w:t xml:space="preserve"> </w:t>
      </w:r>
      <w:r>
        <w:t>се</w:t>
      </w:r>
      <w:r w:rsidR="00904ABF" w:rsidRPr="006E4BB9">
        <w:t xml:space="preserve"> </w:t>
      </w:r>
      <w:r>
        <w:t xml:space="preserve">у последњој реченици предвиђа да уколико неки други </w:t>
      </w:r>
      <w:r w:rsidR="000E0A67">
        <w:t>обрађивач</w:t>
      </w:r>
      <w:r>
        <w:t xml:space="preserve"> не испуни своје обавезе у вези са обрадом података о личности, </w:t>
      </w:r>
      <w:r w:rsidR="000E0A67">
        <w:t>обрађивач</w:t>
      </w:r>
      <w:r>
        <w:t xml:space="preserve"> остаје у потпуности одговоран за извршење тих обавеза другог </w:t>
      </w:r>
      <w:r w:rsidR="000E0A67">
        <w:t>обрађивача</w:t>
      </w:r>
      <w:r w:rsidR="00904ABF" w:rsidRPr="006E4BB9">
        <w:rPr>
          <w:szCs w:val="24"/>
        </w:rPr>
        <w:t xml:space="preserve">. </w:t>
      </w:r>
      <w:r>
        <w:rPr>
          <w:szCs w:val="24"/>
        </w:rPr>
        <w:t xml:space="preserve">Према </w:t>
      </w:r>
      <w:r w:rsidR="00CA510A" w:rsidRPr="006E4BB9">
        <w:rPr>
          <w:i/>
          <w:szCs w:val="24"/>
        </w:rPr>
        <w:t>GDPR</w:t>
      </w:r>
      <w:r w:rsidR="00904ABF" w:rsidRPr="006E4BB9">
        <w:rPr>
          <w:szCs w:val="24"/>
        </w:rPr>
        <w:t xml:space="preserve">, </w:t>
      </w:r>
      <w:r w:rsidR="000E0A67">
        <w:rPr>
          <w:szCs w:val="24"/>
        </w:rPr>
        <w:t>обрађивач</w:t>
      </w:r>
      <w:r>
        <w:rPr>
          <w:szCs w:val="24"/>
        </w:rPr>
        <w:t xml:space="preserve"> остаје у потпуности одговоран према </w:t>
      </w:r>
      <w:r w:rsidR="003F57D1">
        <w:rPr>
          <w:szCs w:val="24"/>
        </w:rPr>
        <w:t>руковаоцу</w:t>
      </w:r>
      <w:r w:rsidR="00904ABF" w:rsidRPr="006E4BB9">
        <w:rPr>
          <w:szCs w:val="24"/>
        </w:rPr>
        <w:t xml:space="preserve">. </w:t>
      </w:r>
      <w:r>
        <w:rPr>
          <w:szCs w:val="24"/>
        </w:rPr>
        <w:t>Да ли се ова одредба Закона односи и на одговорност према другим субјектима</w:t>
      </w:r>
      <w:r w:rsidR="00904ABF" w:rsidRPr="006E4BB9">
        <w:rPr>
          <w:szCs w:val="24"/>
        </w:rPr>
        <w:t xml:space="preserve"> (</w:t>
      </w:r>
      <w:r>
        <w:rPr>
          <w:szCs w:val="24"/>
        </w:rPr>
        <w:t>лицима на која се подаци односе</w:t>
      </w:r>
      <w:r w:rsidR="00904ABF" w:rsidRPr="006E4BB9">
        <w:rPr>
          <w:szCs w:val="24"/>
        </w:rPr>
        <w:t>)?</w:t>
      </w:r>
    </w:p>
    <w:p w14:paraId="16FF4380" w14:textId="77777777" w:rsidR="00904ABF" w:rsidRPr="006E4BB9" w:rsidRDefault="000B5666" w:rsidP="00904ABF">
      <w:pPr>
        <w:spacing w:before="120" w:after="0" w:line="240" w:lineRule="auto"/>
        <w:jc w:val="both"/>
        <w:rPr>
          <w:b/>
          <w:bCs/>
          <w:szCs w:val="24"/>
        </w:rPr>
      </w:pPr>
      <w:r>
        <w:rPr>
          <w:b/>
          <w:bCs/>
          <w:szCs w:val="24"/>
        </w:rPr>
        <w:t>Члан</w:t>
      </w:r>
      <w:r w:rsidR="00904ABF" w:rsidRPr="006E4BB9">
        <w:rPr>
          <w:b/>
          <w:bCs/>
          <w:szCs w:val="24"/>
        </w:rPr>
        <w:t xml:space="preserve"> 47:</w:t>
      </w:r>
    </w:p>
    <w:p w14:paraId="59CD3EAB" w14:textId="5C11B5E6" w:rsidR="00904ABF" w:rsidRPr="006E4BB9" w:rsidRDefault="004F7AB9" w:rsidP="00904ABF">
      <w:pPr>
        <w:spacing w:before="120" w:after="0" w:line="240" w:lineRule="auto"/>
        <w:jc w:val="both"/>
        <w:rPr>
          <w:szCs w:val="24"/>
        </w:rPr>
      </w:pPr>
      <w:r>
        <w:rPr>
          <w:szCs w:val="24"/>
        </w:rPr>
        <w:t xml:space="preserve">У ставу </w:t>
      </w:r>
      <w:r w:rsidR="00904ABF" w:rsidRPr="006E4BB9">
        <w:rPr>
          <w:szCs w:val="24"/>
        </w:rPr>
        <w:t>3</w:t>
      </w:r>
      <w:r>
        <w:rPr>
          <w:szCs w:val="24"/>
        </w:rPr>
        <w:t>.</w:t>
      </w:r>
      <w:r w:rsidR="00904ABF" w:rsidRPr="006E4BB9">
        <w:rPr>
          <w:szCs w:val="24"/>
        </w:rPr>
        <w:t xml:space="preserve"> </w:t>
      </w:r>
      <w:r w:rsidR="00793841">
        <w:rPr>
          <w:szCs w:val="24"/>
          <w:lang w:val="sr-Cyrl-RS"/>
        </w:rPr>
        <w:t>тачка</w:t>
      </w:r>
      <w:r w:rsidR="00793841">
        <w:rPr>
          <w:szCs w:val="24"/>
        </w:rPr>
        <w:t xml:space="preserve"> </w:t>
      </w:r>
      <w:r>
        <w:rPr>
          <w:szCs w:val="24"/>
        </w:rPr>
        <w:t>6) се користи израз „врсте“ преноса. Израз који се обично користи је „категорије“ преноса</w:t>
      </w:r>
      <w:r w:rsidR="00904ABF" w:rsidRPr="006E4BB9">
        <w:rPr>
          <w:szCs w:val="24"/>
        </w:rPr>
        <w:t xml:space="preserve">. </w:t>
      </w:r>
    </w:p>
    <w:p w14:paraId="31EA16AA" w14:textId="77777777" w:rsidR="00904ABF" w:rsidRPr="006E4BB9" w:rsidRDefault="004F7AB9" w:rsidP="00904ABF">
      <w:pPr>
        <w:spacing w:before="120" w:after="0" w:line="240" w:lineRule="auto"/>
        <w:jc w:val="both"/>
        <w:rPr>
          <w:szCs w:val="24"/>
        </w:rPr>
      </w:pPr>
      <w:r>
        <w:rPr>
          <w:szCs w:val="24"/>
        </w:rPr>
        <w:t>У ставу</w:t>
      </w:r>
      <w:r w:rsidR="00904ABF" w:rsidRPr="006E4BB9">
        <w:rPr>
          <w:szCs w:val="24"/>
        </w:rPr>
        <w:t xml:space="preserve"> 7</w:t>
      </w:r>
      <w:r>
        <w:rPr>
          <w:szCs w:val="24"/>
        </w:rPr>
        <w:t>.</w:t>
      </w:r>
      <w:r w:rsidR="00904ABF" w:rsidRPr="006E4BB9">
        <w:rPr>
          <w:szCs w:val="24"/>
        </w:rPr>
        <w:t xml:space="preserve"> </w:t>
      </w:r>
      <w:r>
        <w:rPr>
          <w:szCs w:val="24"/>
        </w:rPr>
        <w:t>се</w:t>
      </w:r>
      <w:r w:rsidR="00904ABF" w:rsidRPr="006E4BB9">
        <w:rPr>
          <w:szCs w:val="24"/>
        </w:rPr>
        <w:t xml:space="preserve"> </w:t>
      </w:r>
      <w:r>
        <w:rPr>
          <w:szCs w:val="24"/>
        </w:rPr>
        <w:t xml:space="preserve">предвиђа да се евиденције чувају трајно. Ни </w:t>
      </w:r>
      <w:r w:rsidR="00CA510A" w:rsidRPr="006E4BB9">
        <w:rPr>
          <w:i/>
          <w:szCs w:val="24"/>
        </w:rPr>
        <w:t>GDPR</w:t>
      </w:r>
      <w:r>
        <w:rPr>
          <w:i/>
          <w:szCs w:val="24"/>
        </w:rPr>
        <w:t>,</w:t>
      </w:r>
      <w:r w:rsidR="00904ABF" w:rsidRPr="006E4BB9">
        <w:rPr>
          <w:szCs w:val="24"/>
        </w:rPr>
        <w:t xml:space="preserve"> </w:t>
      </w:r>
      <w:r>
        <w:rPr>
          <w:szCs w:val="24"/>
        </w:rPr>
        <w:t>ни</w:t>
      </w:r>
      <w:r w:rsidR="00904ABF" w:rsidRPr="006E4BB9">
        <w:rPr>
          <w:szCs w:val="24"/>
        </w:rPr>
        <w:t xml:space="preserve"> </w:t>
      </w:r>
      <w:r w:rsidR="00CA510A" w:rsidRPr="004F7AB9">
        <w:rPr>
          <w:i/>
          <w:szCs w:val="24"/>
        </w:rPr>
        <w:t>LED</w:t>
      </w:r>
      <w:r w:rsidR="00904ABF" w:rsidRPr="006E4BB9">
        <w:rPr>
          <w:szCs w:val="24"/>
        </w:rPr>
        <w:t xml:space="preserve"> </w:t>
      </w:r>
      <w:r>
        <w:rPr>
          <w:szCs w:val="24"/>
        </w:rPr>
        <w:t>не одређују трајно чување евиденција</w:t>
      </w:r>
      <w:r w:rsidR="00904ABF" w:rsidRPr="006E4BB9">
        <w:rPr>
          <w:szCs w:val="24"/>
        </w:rPr>
        <w:t xml:space="preserve">. </w:t>
      </w:r>
      <w:r>
        <w:rPr>
          <w:szCs w:val="24"/>
        </w:rPr>
        <w:t>Треба узети у обзир начело ограничавања складиштења</w:t>
      </w:r>
      <w:r w:rsidR="00904ABF" w:rsidRPr="006E4BB9">
        <w:rPr>
          <w:szCs w:val="24"/>
        </w:rPr>
        <w:t xml:space="preserve">. </w:t>
      </w:r>
      <w:r>
        <w:rPr>
          <w:szCs w:val="24"/>
        </w:rPr>
        <w:t xml:space="preserve">Може се догодити да руковалац </w:t>
      </w:r>
      <w:r w:rsidR="003F57D1">
        <w:rPr>
          <w:szCs w:val="24"/>
        </w:rPr>
        <w:t xml:space="preserve">или обрађивач </w:t>
      </w:r>
      <w:r>
        <w:rPr>
          <w:szCs w:val="24"/>
        </w:rPr>
        <w:t>у одређеном тренутку због измењених околности више немају обавезу да чувају те евиденције и потреба да евиденције чувају трајно треба да буде изузетак</w:t>
      </w:r>
      <w:r w:rsidR="00904ABF" w:rsidRPr="006E4BB9">
        <w:rPr>
          <w:szCs w:val="24"/>
        </w:rPr>
        <w:t xml:space="preserve"> (</w:t>
      </w:r>
      <w:r>
        <w:rPr>
          <w:szCs w:val="24"/>
        </w:rPr>
        <w:t>и то веома добро утемељен изузетак</w:t>
      </w:r>
      <w:r w:rsidR="00904ABF" w:rsidRPr="006E4BB9">
        <w:rPr>
          <w:szCs w:val="24"/>
        </w:rPr>
        <w:t>)</w:t>
      </w:r>
      <w:r>
        <w:rPr>
          <w:szCs w:val="24"/>
        </w:rPr>
        <w:t>, а ни у ком случају опште правило</w:t>
      </w:r>
      <w:r w:rsidR="00904ABF" w:rsidRPr="006E4BB9">
        <w:rPr>
          <w:szCs w:val="24"/>
        </w:rPr>
        <w:t>.</w:t>
      </w:r>
    </w:p>
    <w:p w14:paraId="7C744ADA" w14:textId="77777777" w:rsidR="00904ABF" w:rsidRPr="006E4BB9" w:rsidRDefault="004F7AB9" w:rsidP="00904ABF">
      <w:pPr>
        <w:spacing w:before="120" w:after="0" w:line="240" w:lineRule="auto"/>
        <w:jc w:val="both"/>
        <w:rPr>
          <w:szCs w:val="24"/>
        </w:rPr>
      </w:pPr>
      <w:r>
        <w:rPr>
          <w:szCs w:val="24"/>
        </w:rPr>
        <w:t xml:space="preserve">Осим тога треба јасно предвидети да се последњи став не односи на надлежне органе када они врше обраду података у посебне сврхе у складу са </w:t>
      </w:r>
      <w:r w:rsidR="00CA510A" w:rsidRPr="004F7AB9">
        <w:rPr>
          <w:i/>
          <w:szCs w:val="24"/>
        </w:rPr>
        <w:t>LED</w:t>
      </w:r>
      <w:r w:rsidR="00904ABF" w:rsidRPr="006E4BB9">
        <w:rPr>
          <w:szCs w:val="24"/>
        </w:rPr>
        <w:t>.</w:t>
      </w:r>
    </w:p>
    <w:p w14:paraId="146877E5" w14:textId="77777777" w:rsidR="00904ABF" w:rsidRPr="006E4BB9" w:rsidRDefault="004F7AB9" w:rsidP="00904ABF">
      <w:pPr>
        <w:spacing w:before="160"/>
        <w:jc w:val="both"/>
        <w:rPr>
          <w:b/>
          <w:bCs/>
        </w:rPr>
      </w:pPr>
      <w:r>
        <w:rPr>
          <w:b/>
          <w:bCs/>
        </w:rPr>
        <w:t>Члан</w:t>
      </w:r>
      <w:r w:rsidR="00904ABF" w:rsidRPr="006E4BB9">
        <w:rPr>
          <w:b/>
          <w:bCs/>
        </w:rPr>
        <w:t xml:space="preserve"> 48:</w:t>
      </w:r>
    </w:p>
    <w:p w14:paraId="06CC58D9" w14:textId="6D442B89" w:rsidR="00904ABF" w:rsidRPr="006E4BB9" w:rsidRDefault="003A1250" w:rsidP="00904ABF">
      <w:pPr>
        <w:spacing w:before="120" w:after="0" w:line="240" w:lineRule="auto"/>
        <w:jc w:val="both"/>
        <w:rPr>
          <w:szCs w:val="24"/>
        </w:rPr>
      </w:pPr>
      <w:r>
        <w:rPr>
          <w:szCs w:val="24"/>
        </w:rPr>
        <w:t>Казнена одредба</w:t>
      </w:r>
      <w:r w:rsidR="00904ABF" w:rsidRPr="006E4BB9">
        <w:rPr>
          <w:szCs w:val="24"/>
        </w:rPr>
        <w:t xml:space="preserve"> (</w:t>
      </w:r>
      <w:r>
        <w:rPr>
          <w:szCs w:val="24"/>
        </w:rPr>
        <w:t xml:space="preserve">члан </w:t>
      </w:r>
      <w:r w:rsidR="00904ABF" w:rsidRPr="006E4BB9">
        <w:rPr>
          <w:szCs w:val="24"/>
        </w:rPr>
        <w:t>95</w:t>
      </w:r>
      <w:r>
        <w:rPr>
          <w:szCs w:val="24"/>
        </w:rPr>
        <w:t>. став</w:t>
      </w:r>
      <w:r w:rsidR="00904ABF" w:rsidRPr="006E4BB9">
        <w:rPr>
          <w:szCs w:val="24"/>
        </w:rPr>
        <w:t xml:space="preserve"> 2</w:t>
      </w:r>
      <w:r>
        <w:rPr>
          <w:szCs w:val="24"/>
        </w:rPr>
        <w:t xml:space="preserve">. </w:t>
      </w:r>
      <w:r w:rsidR="00793841">
        <w:rPr>
          <w:szCs w:val="24"/>
          <w:lang w:val="sr-Cyrl-RS"/>
        </w:rPr>
        <w:t>тачка</w:t>
      </w:r>
      <w:r w:rsidR="00793841" w:rsidRPr="006E4BB9">
        <w:rPr>
          <w:szCs w:val="24"/>
        </w:rPr>
        <w:t xml:space="preserve"> </w:t>
      </w:r>
      <w:r w:rsidR="00904ABF" w:rsidRPr="006E4BB9">
        <w:rPr>
          <w:szCs w:val="24"/>
        </w:rPr>
        <w:t xml:space="preserve">5) </w:t>
      </w:r>
      <w:r>
        <w:rPr>
          <w:szCs w:val="24"/>
        </w:rPr>
        <w:t xml:space="preserve">овог члана није комплетна, пошто обухвата само небележење </w:t>
      </w:r>
      <w:r w:rsidR="00DE6F66">
        <w:rPr>
          <w:szCs w:val="24"/>
        </w:rPr>
        <w:t>радњи</w:t>
      </w:r>
      <w:r>
        <w:rPr>
          <w:szCs w:val="24"/>
        </w:rPr>
        <w:t xml:space="preserve"> обраде</w:t>
      </w:r>
      <w:r w:rsidR="00904ABF" w:rsidRPr="006E4BB9">
        <w:rPr>
          <w:szCs w:val="24"/>
        </w:rPr>
        <w:t xml:space="preserve">. </w:t>
      </w:r>
      <w:r w:rsidR="003F57D1">
        <w:rPr>
          <w:szCs w:val="24"/>
        </w:rPr>
        <w:t>Р</w:t>
      </w:r>
      <w:r>
        <w:rPr>
          <w:szCs w:val="24"/>
        </w:rPr>
        <w:t>уковалац</w:t>
      </w:r>
      <w:r w:rsidR="003F57D1">
        <w:rPr>
          <w:szCs w:val="24"/>
        </w:rPr>
        <w:t xml:space="preserve"> или обрађивач</w:t>
      </w:r>
      <w:r>
        <w:rPr>
          <w:szCs w:val="24"/>
        </w:rPr>
        <w:t xml:space="preserve"> би их могли бележити али на недовољан начин да се утврд</w:t>
      </w:r>
      <w:r w:rsidR="00DE6F66">
        <w:rPr>
          <w:szCs w:val="24"/>
        </w:rPr>
        <w:t>е</w:t>
      </w:r>
      <w:r>
        <w:rPr>
          <w:szCs w:val="24"/>
        </w:rPr>
        <w:t xml:space="preserve"> чињенице које су п</w:t>
      </w:r>
      <w:r w:rsidR="00DE6F66">
        <w:rPr>
          <w:szCs w:val="24"/>
        </w:rPr>
        <w:t>ружене у ставу</w:t>
      </w:r>
      <w:r w:rsidR="00904ABF" w:rsidRPr="006E4BB9">
        <w:rPr>
          <w:szCs w:val="24"/>
        </w:rPr>
        <w:t xml:space="preserve"> 2</w:t>
      </w:r>
      <w:r w:rsidR="00DE6F66">
        <w:rPr>
          <w:szCs w:val="24"/>
        </w:rPr>
        <w:t>.</w:t>
      </w:r>
      <w:r w:rsidR="00904ABF" w:rsidRPr="006E4BB9">
        <w:rPr>
          <w:szCs w:val="24"/>
        </w:rPr>
        <w:t xml:space="preserve"> </w:t>
      </w:r>
      <w:r w:rsidR="00DE6F66">
        <w:rPr>
          <w:szCs w:val="24"/>
        </w:rPr>
        <w:t>или</w:t>
      </w:r>
      <w:r w:rsidR="00904ABF" w:rsidRPr="006E4BB9">
        <w:rPr>
          <w:szCs w:val="24"/>
        </w:rPr>
        <w:t xml:space="preserve"> </w:t>
      </w:r>
      <w:r w:rsidR="00DE6F66">
        <w:rPr>
          <w:szCs w:val="24"/>
        </w:rPr>
        <w:t>да ли су те евиденције коришћене за сврхе које нису пре</w:t>
      </w:r>
      <w:r w:rsidR="003F57D1">
        <w:rPr>
          <w:szCs w:val="24"/>
        </w:rPr>
        <w:t>д</w:t>
      </w:r>
      <w:r w:rsidR="00DE6F66">
        <w:rPr>
          <w:szCs w:val="24"/>
        </w:rPr>
        <w:t>виђене у овом члану</w:t>
      </w:r>
      <w:r w:rsidR="00904ABF" w:rsidRPr="006E4BB9">
        <w:rPr>
          <w:szCs w:val="24"/>
        </w:rPr>
        <w:t>.</w:t>
      </w:r>
    </w:p>
    <w:p w14:paraId="68792956" w14:textId="77777777" w:rsidR="00904ABF" w:rsidRPr="006E4BB9" w:rsidRDefault="00DE6F66" w:rsidP="00904ABF">
      <w:pPr>
        <w:spacing w:before="120" w:after="0" w:line="240" w:lineRule="auto"/>
        <w:jc w:val="both"/>
        <w:rPr>
          <w:szCs w:val="24"/>
        </w:rPr>
      </w:pPr>
      <w:r>
        <w:rPr>
          <w:szCs w:val="24"/>
        </w:rPr>
        <w:t>Националним законодавством треба даље утврдити захтеве у погледу евиденција, а нарочито њиховог садржаја</w:t>
      </w:r>
      <w:r w:rsidR="00904ABF" w:rsidRPr="006E4BB9">
        <w:rPr>
          <w:szCs w:val="24"/>
        </w:rPr>
        <w:t xml:space="preserve">, </w:t>
      </w:r>
      <w:r>
        <w:rPr>
          <w:szCs w:val="24"/>
        </w:rPr>
        <w:t>одговарајућих периода складиштења и техничким мера којима се гарантује њихов интегритет</w:t>
      </w:r>
      <w:r w:rsidR="00904ABF" w:rsidRPr="006E4BB9">
        <w:rPr>
          <w:szCs w:val="24"/>
        </w:rPr>
        <w:t xml:space="preserve">. </w:t>
      </w:r>
      <w:r>
        <w:rPr>
          <w:szCs w:val="24"/>
        </w:rPr>
        <w:t xml:space="preserve">Евиденције треба да буду важно питање при осмишљавању </w:t>
      </w:r>
      <w:r w:rsidR="00392F0E">
        <w:rPr>
          <w:szCs w:val="24"/>
        </w:rPr>
        <w:t xml:space="preserve">захтева у погледу интегрисане </w:t>
      </w:r>
      <w:r>
        <w:rPr>
          <w:szCs w:val="24"/>
        </w:rPr>
        <w:t>заштите података</w:t>
      </w:r>
      <w:r w:rsidR="00904ABF" w:rsidRPr="006E4BB9">
        <w:rPr>
          <w:szCs w:val="24"/>
        </w:rPr>
        <w:t xml:space="preserve"> (</w:t>
      </w:r>
      <w:r w:rsidR="00392F0E">
        <w:rPr>
          <w:szCs w:val="24"/>
        </w:rPr>
        <w:t xml:space="preserve">члан </w:t>
      </w:r>
      <w:r w:rsidR="00904ABF" w:rsidRPr="006E4BB9">
        <w:rPr>
          <w:szCs w:val="24"/>
        </w:rPr>
        <w:t>42</w:t>
      </w:r>
      <w:r w:rsidR="00392F0E">
        <w:rPr>
          <w:szCs w:val="24"/>
        </w:rPr>
        <w:t>. Закона</w:t>
      </w:r>
      <w:r w:rsidR="00904ABF" w:rsidRPr="006E4BB9">
        <w:rPr>
          <w:szCs w:val="24"/>
        </w:rPr>
        <w:t xml:space="preserve">). </w:t>
      </w:r>
    </w:p>
    <w:p w14:paraId="0B33C467" w14:textId="77777777" w:rsidR="00904ABF" w:rsidRPr="006E4BB9" w:rsidRDefault="00392F0E" w:rsidP="00904ABF">
      <w:pPr>
        <w:spacing w:before="120" w:after="0" w:line="240" w:lineRule="auto"/>
        <w:jc w:val="both"/>
        <w:rPr>
          <w:b/>
          <w:bCs/>
        </w:rPr>
      </w:pPr>
      <w:r>
        <w:rPr>
          <w:b/>
          <w:bCs/>
        </w:rPr>
        <w:t xml:space="preserve">Члан </w:t>
      </w:r>
      <w:r w:rsidR="00904ABF" w:rsidRPr="006E4BB9">
        <w:rPr>
          <w:b/>
          <w:bCs/>
        </w:rPr>
        <w:t>50:</w:t>
      </w:r>
    </w:p>
    <w:p w14:paraId="5C025611" w14:textId="77777777" w:rsidR="00603C01" w:rsidRPr="006E4BB9" w:rsidRDefault="00996C75" w:rsidP="00904ABF">
      <w:pPr>
        <w:spacing w:before="120" w:after="0" w:line="240" w:lineRule="auto"/>
        <w:jc w:val="both"/>
      </w:pPr>
      <w:r>
        <w:lastRenderedPageBreak/>
        <w:t xml:space="preserve">Став </w:t>
      </w:r>
      <w:r w:rsidR="00904ABF" w:rsidRPr="006E4BB9">
        <w:t>2</w:t>
      </w:r>
      <w:r>
        <w:t>. почиње</w:t>
      </w:r>
      <w:r w:rsidR="00904ABF" w:rsidRPr="006E4BB9">
        <w:t xml:space="preserve"> </w:t>
      </w:r>
      <w:r>
        <w:t>речима „</w:t>
      </w:r>
      <w:r>
        <w:rPr>
          <w:i/>
        </w:rPr>
        <w:t>Према потреби …“</w:t>
      </w:r>
      <w:r w:rsidR="00603C01" w:rsidRPr="006E4BB9">
        <w:rPr>
          <w:i/>
        </w:rPr>
        <w:t xml:space="preserve">. </w:t>
      </w:r>
      <w:r>
        <w:t>Оваква реченица може бити узрок погрешном тумачењу</w:t>
      </w:r>
      <w:r w:rsidR="00603C01" w:rsidRPr="006E4BB9">
        <w:t>.</w:t>
      </w:r>
      <w:r>
        <w:t xml:space="preserve"> Околности које се морају размотрити су предвиђене у ставу </w:t>
      </w:r>
      <w:r w:rsidR="00904ABF" w:rsidRPr="006E4BB9">
        <w:t>1</w:t>
      </w:r>
      <w:r>
        <w:t>.</w:t>
      </w:r>
      <w:r w:rsidR="00904ABF" w:rsidRPr="006E4BB9">
        <w:t xml:space="preserve"> </w:t>
      </w:r>
      <w:r>
        <w:t>и</w:t>
      </w:r>
      <w:r w:rsidR="00904ABF" w:rsidRPr="006E4BB9">
        <w:t xml:space="preserve"> </w:t>
      </w:r>
      <w:r>
        <w:t>нема потребе да се у ставу 2. додатно помиње њихова неопходност</w:t>
      </w:r>
      <w:r w:rsidR="00904ABF" w:rsidRPr="006E4BB9">
        <w:t>.</w:t>
      </w:r>
      <w:r w:rsidR="00603C01" w:rsidRPr="006E4BB9">
        <w:t xml:space="preserve"> </w:t>
      </w:r>
    </w:p>
    <w:p w14:paraId="60ACC249" w14:textId="77777777" w:rsidR="00904ABF" w:rsidRPr="006E4BB9" w:rsidRDefault="00996C75" w:rsidP="00904ABF">
      <w:pPr>
        <w:spacing w:before="120" w:after="0" w:line="240" w:lineRule="auto"/>
        <w:jc w:val="both"/>
      </w:pPr>
      <w:r>
        <w:t>Сматрамо да је у ставу</w:t>
      </w:r>
      <w:r w:rsidR="00904ABF" w:rsidRPr="006E4BB9">
        <w:t xml:space="preserve"> 5</w:t>
      </w:r>
      <w:r>
        <w:t>.</w:t>
      </w:r>
      <w:r w:rsidR="00686A24" w:rsidRPr="006E4BB9">
        <w:t xml:space="preserve"> </w:t>
      </w:r>
      <w:r>
        <w:t>важно</w:t>
      </w:r>
      <w:r w:rsidR="00686A24" w:rsidRPr="006E4BB9">
        <w:t xml:space="preserve"> </w:t>
      </w:r>
      <w:r>
        <w:t>нагласити да СВА физичка лица која поступају по овлаш</w:t>
      </w:r>
      <w:r w:rsidR="003A31A6">
        <w:t>ћ</w:t>
      </w:r>
      <w:r w:rsidR="00D9516F">
        <w:t>ењу руковаоца</w:t>
      </w:r>
      <w:r>
        <w:t xml:space="preserve"> поступа само на основу његових </w:t>
      </w:r>
      <w:r w:rsidR="0020574A">
        <w:t>налога</w:t>
      </w:r>
      <w:r w:rsidR="00EF28DE" w:rsidRPr="006E4BB9">
        <w:t xml:space="preserve">. </w:t>
      </w:r>
      <w:r w:rsidR="0020574A">
        <w:t>Стога је наш</w:t>
      </w:r>
      <w:r w:rsidR="00D9516F">
        <w:t xml:space="preserve"> предлог</w:t>
      </w:r>
      <w:r w:rsidR="0020574A">
        <w:t xml:space="preserve"> да се</w:t>
      </w:r>
      <w:r w:rsidR="0020574A" w:rsidRPr="0020574A">
        <w:t xml:space="preserve"> </w:t>
      </w:r>
      <w:r w:rsidR="0020574A">
        <w:t>пре речи „физичко“ дода реч „свако“</w:t>
      </w:r>
      <w:r w:rsidR="00904ABF" w:rsidRPr="006E4BB9">
        <w:t>.</w:t>
      </w:r>
    </w:p>
    <w:p w14:paraId="5EA64AE0" w14:textId="77777777" w:rsidR="00904ABF" w:rsidRPr="006E4BB9" w:rsidRDefault="0020574A" w:rsidP="00904ABF">
      <w:pPr>
        <w:spacing w:before="160"/>
        <w:jc w:val="both"/>
        <w:rPr>
          <w:b/>
          <w:bCs/>
        </w:rPr>
      </w:pPr>
      <w:r>
        <w:rPr>
          <w:b/>
          <w:bCs/>
        </w:rPr>
        <w:t xml:space="preserve">Члан </w:t>
      </w:r>
      <w:r w:rsidR="00904ABF" w:rsidRPr="006E4BB9">
        <w:rPr>
          <w:b/>
          <w:bCs/>
        </w:rPr>
        <w:t>52:</w:t>
      </w:r>
    </w:p>
    <w:p w14:paraId="2C9363D8" w14:textId="77777777" w:rsidR="00F92F30" w:rsidRPr="006E4BB9" w:rsidRDefault="0020574A" w:rsidP="00F92F30">
      <w:pPr>
        <w:spacing w:before="120" w:after="0" w:line="240" w:lineRule="auto"/>
        <w:jc w:val="both"/>
        <w:rPr>
          <w:szCs w:val="24"/>
        </w:rPr>
      </w:pPr>
      <w:r>
        <w:rPr>
          <w:szCs w:val="24"/>
        </w:rPr>
        <w:t>Члан</w:t>
      </w:r>
      <w:r w:rsidR="006430D7" w:rsidRPr="006E4BB9">
        <w:rPr>
          <w:szCs w:val="24"/>
        </w:rPr>
        <w:t xml:space="preserve"> 30</w:t>
      </w:r>
      <w:r>
        <w:rPr>
          <w:szCs w:val="24"/>
        </w:rPr>
        <w:t>. став</w:t>
      </w:r>
      <w:r w:rsidR="006430D7" w:rsidRPr="006E4BB9">
        <w:rPr>
          <w:szCs w:val="24"/>
        </w:rPr>
        <w:t xml:space="preserve"> (6) </w:t>
      </w:r>
      <w:r w:rsidR="00CA510A" w:rsidRPr="0020574A">
        <w:rPr>
          <w:i/>
          <w:szCs w:val="24"/>
        </w:rPr>
        <w:t>LED</w:t>
      </w:r>
      <w:r w:rsidR="006430D7" w:rsidRPr="006E4BB9">
        <w:rPr>
          <w:szCs w:val="24"/>
        </w:rPr>
        <w:t xml:space="preserve"> </w:t>
      </w:r>
      <w:r>
        <w:rPr>
          <w:szCs w:val="24"/>
        </w:rPr>
        <w:t xml:space="preserve">се бави ситуацијом у којој повреда података о личности које обрађују надлежни органи у посебне сврхе укључује податке о личности који </w:t>
      </w:r>
      <w:r w:rsidR="00D9516F">
        <w:rPr>
          <w:i/>
          <w:szCs w:val="24"/>
        </w:rPr>
        <w:t>су пренети ОД СТРАНЕ РУКОВАОЦА</w:t>
      </w:r>
      <w:r>
        <w:rPr>
          <w:i/>
          <w:szCs w:val="24"/>
        </w:rPr>
        <w:t xml:space="preserve"> ИЛИ </w:t>
      </w:r>
      <w:r w:rsidR="00D9516F">
        <w:rPr>
          <w:i/>
          <w:szCs w:val="24"/>
        </w:rPr>
        <w:t>РУКОВАОЦУ</w:t>
      </w:r>
      <w:r>
        <w:rPr>
          <w:i/>
          <w:szCs w:val="24"/>
        </w:rPr>
        <w:t xml:space="preserve"> </w:t>
      </w:r>
      <w:r>
        <w:rPr>
          <w:szCs w:val="24"/>
        </w:rPr>
        <w:t>неке друге државе чланице</w:t>
      </w:r>
      <w:r w:rsidR="006430D7" w:rsidRPr="006E4BB9">
        <w:rPr>
          <w:szCs w:val="24"/>
        </w:rPr>
        <w:t xml:space="preserve">. </w:t>
      </w:r>
      <w:r>
        <w:rPr>
          <w:szCs w:val="24"/>
        </w:rPr>
        <w:t xml:space="preserve">Ситуација </w:t>
      </w:r>
      <w:r w:rsidR="00D9516F">
        <w:rPr>
          <w:szCs w:val="24"/>
        </w:rPr>
        <w:t>да су подаци пренети ОД СТРАНЕ руковаоца</w:t>
      </w:r>
      <w:r>
        <w:rPr>
          <w:szCs w:val="24"/>
        </w:rPr>
        <w:t xml:space="preserve"> није обухваћена ставом 8.</w:t>
      </w:r>
      <w:r w:rsidR="006430D7" w:rsidRPr="006E4BB9">
        <w:rPr>
          <w:szCs w:val="24"/>
        </w:rPr>
        <w:t xml:space="preserve"> </w:t>
      </w:r>
      <w:r>
        <w:rPr>
          <w:szCs w:val="24"/>
        </w:rPr>
        <w:t>члан</w:t>
      </w:r>
      <w:r w:rsidR="006430D7" w:rsidRPr="006E4BB9">
        <w:rPr>
          <w:szCs w:val="24"/>
        </w:rPr>
        <w:t xml:space="preserve"> 52</w:t>
      </w:r>
      <w:r>
        <w:rPr>
          <w:szCs w:val="24"/>
        </w:rPr>
        <w:t>. Закона</w:t>
      </w:r>
      <w:r w:rsidR="006430D7" w:rsidRPr="006E4BB9">
        <w:rPr>
          <w:szCs w:val="24"/>
        </w:rPr>
        <w:t xml:space="preserve">. </w:t>
      </w:r>
      <w:r>
        <w:rPr>
          <w:szCs w:val="24"/>
        </w:rPr>
        <w:t>Ова ситуација би такође могла бити прописана у зависности од закључивања међународног споразума којим би се таква обавеза наметнула некој трећој земљи или међународној организацији</w:t>
      </w:r>
      <w:r w:rsidR="00CD2748" w:rsidRPr="006E4BB9">
        <w:rPr>
          <w:szCs w:val="24"/>
        </w:rPr>
        <w:t>.</w:t>
      </w:r>
    </w:p>
    <w:p w14:paraId="2D6A2199" w14:textId="77777777" w:rsidR="00904ABF" w:rsidRPr="006E4BB9" w:rsidRDefault="0020574A" w:rsidP="00F92F30">
      <w:pPr>
        <w:spacing w:before="120" w:after="0" w:line="240" w:lineRule="auto"/>
        <w:jc w:val="both"/>
        <w:rPr>
          <w:b/>
          <w:bCs/>
        </w:rPr>
      </w:pPr>
      <w:r>
        <w:rPr>
          <w:b/>
          <w:bCs/>
        </w:rPr>
        <w:t xml:space="preserve">Члан </w:t>
      </w:r>
      <w:r w:rsidR="00904ABF" w:rsidRPr="006E4BB9">
        <w:rPr>
          <w:b/>
          <w:bCs/>
        </w:rPr>
        <w:t>53:</w:t>
      </w:r>
    </w:p>
    <w:p w14:paraId="5B97B309" w14:textId="77777777" w:rsidR="00904ABF" w:rsidRPr="006E4BB9" w:rsidRDefault="0020574A" w:rsidP="00904ABF">
      <w:pPr>
        <w:spacing w:before="120" w:after="0" w:line="240" w:lineRule="auto"/>
        <w:jc w:val="both"/>
      </w:pPr>
      <w:r>
        <w:t xml:space="preserve">Наш је </w:t>
      </w:r>
      <w:r w:rsidR="00D9516F">
        <w:t>предлог</w:t>
      </w:r>
      <w:r>
        <w:t xml:space="preserve"> да се у пос</w:t>
      </w:r>
      <w:r w:rsidR="00D9516F">
        <w:t>ледњем ставу дода могућност да руковалац</w:t>
      </w:r>
      <w:r>
        <w:t xml:space="preserve"> може такође пропустити да </w:t>
      </w:r>
      <w:r w:rsidR="004115EF">
        <w:t>обавести лице на које се подаци односе</w:t>
      </w:r>
      <w:r w:rsidR="00904ABF" w:rsidRPr="006E4BB9">
        <w:t>,</w:t>
      </w:r>
      <w:r w:rsidR="004115EF">
        <w:t xml:space="preserve"> а не само да може одложити или ограничити такво обавештавање</w:t>
      </w:r>
      <w:r w:rsidR="00904ABF" w:rsidRPr="006E4BB9">
        <w:t xml:space="preserve">. </w:t>
      </w:r>
    </w:p>
    <w:p w14:paraId="65BC52E8" w14:textId="77777777" w:rsidR="00904ABF" w:rsidRPr="006E4BB9" w:rsidRDefault="004115EF" w:rsidP="00904ABF">
      <w:pPr>
        <w:spacing w:before="160"/>
        <w:jc w:val="both"/>
        <w:rPr>
          <w:b/>
          <w:bCs/>
        </w:rPr>
      </w:pPr>
      <w:r>
        <w:rPr>
          <w:b/>
          <w:bCs/>
        </w:rPr>
        <w:t xml:space="preserve">Члан </w:t>
      </w:r>
      <w:r w:rsidR="00904ABF" w:rsidRPr="006E4BB9">
        <w:rPr>
          <w:b/>
          <w:bCs/>
        </w:rPr>
        <w:t>54:</w:t>
      </w:r>
    </w:p>
    <w:p w14:paraId="04C58B0A" w14:textId="2AED9265" w:rsidR="00904ABF" w:rsidRPr="006E4BB9" w:rsidRDefault="004115EF" w:rsidP="00904ABF">
      <w:pPr>
        <w:spacing w:before="120" w:after="0" w:line="240" w:lineRule="auto"/>
        <w:jc w:val="both"/>
      </w:pPr>
      <w:r>
        <w:t>Из става</w:t>
      </w:r>
      <w:r w:rsidR="00904ABF" w:rsidRPr="006E4BB9">
        <w:t xml:space="preserve"> 6</w:t>
      </w:r>
      <w:r>
        <w:t xml:space="preserve">. </w:t>
      </w:r>
      <w:r w:rsidR="00793841">
        <w:rPr>
          <w:lang w:val="sr-Cyrl-RS"/>
        </w:rPr>
        <w:t>тачка</w:t>
      </w:r>
      <w:r w:rsidR="00793841" w:rsidRPr="006E4BB9">
        <w:t xml:space="preserve"> </w:t>
      </w:r>
      <w:r w:rsidR="00904ABF" w:rsidRPr="006E4BB9">
        <w:t xml:space="preserve">4) </w:t>
      </w:r>
      <w:r w:rsidR="00616D22">
        <w:t>произилази да ће се опис мера који ће се бавити ри</w:t>
      </w:r>
      <w:r w:rsidR="003A31A6">
        <w:t>зи</w:t>
      </w:r>
      <w:r w:rsidR="00616D22">
        <w:t>цима у вези са</w:t>
      </w:r>
      <w:r w:rsidR="00B53F11">
        <w:t xml:space="preserve"> проценом утицаја на заштиту података</w:t>
      </w:r>
      <w:r w:rsidR="00BA31E7" w:rsidRPr="006E4BB9">
        <w:t xml:space="preserve"> </w:t>
      </w:r>
      <w:r w:rsidR="00616D22">
        <w:t xml:space="preserve">укључивати </w:t>
      </w:r>
      <w:r w:rsidR="00616D22">
        <w:rPr>
          <w:i/>
        </w:rPr>
        <w:t>законске заштитне мере, мере безбедности и техничке, организационе и кадровске мере</w:t>
      </w:r>
      <w:r w:rsidR="00616D22">
        <w:t xml:space="preserve">. Те мере су, како је такође предвиђено чланом </w:t>
      </w:r>
      <w:r w:rsidR="00904ABF" w:rsidRPr="006E4BB9">
        <w:t>50</w:t>
      </w:r>
      <w:r w:rsidR="00616D22">
        <w:t>. Закона, део мера безбедности</w:t>
      </w:r>
      <w:r w:rsidR="004A69F4" w:rsidRPr="006E4BB9">
        <w:t xml:space="preserve">. </w:t>
      </w:r>
      <w:r w:rsidR="00616D22">
        <w:t>Сврха одговарај</w:t>
      </w:r>
      <w:r w:rsidR="003A31A6">
        <w:t>у</w:t>
      </w:r>
      <w:r w:rsidR="00616D22">
        <w:t xml:space="preserve">ће одредбе из </w:t>
      </w:r>
      <w:r w:rsidR="00CA510A" w:rsidRPr="006E4BB9">
        <w:rPr>
          <w:i/>
        </w:rPr>
        <w:t>GDPR</w:t>
      </w:r>
      <w:r w:rsidR="004A69F4" w:rsidRPr="006E4BB9">
        <w:t xml:space="preserve"> (</w:t>
      </w:r>
      <w:r w:rsidR="00616D22">
        <w:t xml:space="preserve">члан </w:t>
      </w:r>
      <w:r w:rsidR="003658F3" w:rsidRPr="006E4BB9">
        <w:t>35</w:t>
      </w:r>
      <w:r w:rsidR="00616D22">
        <w:t xml:space="preserve">. став </w:t>
      </w:r>
      <w:r w:rsidR="003658F3" w:rsidRPr="006E4BB9">
        <w:t>(7)</w:t>
      </w:r>
      <w:r w:rsidR="00616D22">
        <w:t xml:space="preserve"> </w:t>
      </w:r>
      <w:r w:rsidR="00793841">
        <w:rPr>
          <w:lang w:val="sr-Cyrl-RS"/>
        </w:rPr>
        <w:t>тачка</w:t>
      </w:r>
      <w:r w:rsidR="00793841">
        <w:t xml:space="preserve"> </w:t>
      </w:r>
      <w:r w:rsidR="003658F3" w:rsidRPr="006E4BB9">
        <w:t>(</w:t>
      </w:r>
      <w:r w:rsidR="00616D22">
        <w:t>г</w:t>
      </w:r>
      <w:r w:rsidR="003658F3" w:rsidRPr="006E4BB9">
        <w:t xml:space="preserve">) </w:t>
      </w:r>
      <w:r w:rsidR="00CA510A" w:rsidRPr="006E4BB9">
        <w:rPr>
          <w:i/>
        </w:rPr>
        <w:t>GDPR</w:t>
      </w:r>
      <w:r w:rsidR="004A69F4" w:rsidRPr="006E4BB9">
        <w:t>),</w:t>
      </w:r>
      <w:r w:rsidR="003658F3" w:rsidRPr="006E4BB9">
        <w:t xml:space="preserve"> </w:t>
      </w:r>
      <w:r w:rsidR="00616D22">
        <w:t>у којој се користи реч „мере“ је да се реши питање свих могућих ризика у вези са заштит</w:t>
      </w:r>
      <w:r w:rsidR="00B53F11">
        <w:t>ом</w:t>
      </w:r>
      <w:r w:rsidR="00616D22">
        <w:t xml:space="preserve"> података</w:t>
      </w:r>
      <w:r w:rsidR="00B53F11">
        <w:t xml:space="preserve"> са</w:t>
      </w:r>
      <w:r w:rsidR="00616D22">
        <w:t xml:space="preserve"> појединачном активношћу обраде</w:t>
      </w:r>
      <w:r w:rsidR="004A69F4" w:rsidRPr="006E4BB9">
        <w:t xml:space="preserve"> (</w:t>
      </w:r>
      <w:r w:rsidR="00616D22">
        <w:t>нпр. законитост</w:t>
      </w:r>
      <w:r w:rsidR="004A69F4" w:rsidRPr="006E4BB9">
        <w:t xml:space="preserve"> – </w:t>
      </w:r>
      <w:r w:rsidR="00616D22">
        <w:t>шта је примерена законска основа и како ће она бити обезбеђена</w:t>
      </w:r>
      <w:r w:rsidR="004A69F4" w:rsidRPr="006E4BB9">
        <w:t>;</w:t>
      </w:r>
      <w:r w:rsidR="003658F3" w:rsidRPr="006E4BB9">
        <w:t xml:space="preserve"> </w:t>
      </w:r>
      <w:r w:rsidR="00616D22">
        <w:t>транспарентност обраде</w:t>
      </w:r>
      <w:r w:rsidR="004A69F4" w:rsidRPr="006E4BB9">
        <w:t xml:space="preserve"> – </w:t>
      </w:r>
      <w:r w:rsidR="00616D22">
        <w:t>како на одговарајући начин обавестити лице на које се подаци односе о појединачној активности обраде</w:t>
      </w:r>
      <w:r w:rsidR="004A69F4" w:rsidRPr="006E4BB9">
        <w:t>;</w:t>
      </w:r>
      <w:r w:rsidR="003658F3" w:rsidRPr="006E4BB9">
        <w:t xml:space="preserve"> </w:t>
      </w:r>
      <w:r w:rsidR="00616D22">
        <w:t>права лица на која се подаци односе</w:t>
      </w:r>
      <w:r w:rsidR="0096535B" w:rsidRPr="006E4BB9">
        <w:t xml:space="preserve"> – </w:t>
      </w:r>
      <w:r w:rsidR="00616D22">
        <w:t xml:space="preserve">како ће </w:t>
      </w:r>
      <w:r w:rsidR="00D9516F">
        <w:t>руковалац</w:t>
      </w:r>
      <w:r w:rsidR="00616D22">
        <w:t xml:space="preserve"> решавати захтеве лица на која се подаци односе</w:t>
      </w:r>
      <w:r w:rsidR="0096535B" w:rsidRPr="006E4BB9">
        <w:t xml:space="preserve">, </w:t>
      </w:r>
      <w:r w:rsidR="00616D22">
        <w:t>итд</w:t>
      </w:r>
      <w:r w:rsidR="003658F3" w:rsidRPr="006E4BB9">
        <w:t>.)</w:t>
      </w:r>
      <w:r w:rsidR="004A69F4" w:rsidRPr="006E4BB9">
        <w:t xml:space="preserve">. </w:t>
      </w:r>
      <w:r w:rsidR="00616D22">
        <w:t xml:space="preserve">Треба поштовати све аспекте заштите података о личности, а не само безбедносне аспекте. </w:t>
      </w:r>
      <w:r w:rsidR="006509DC">
        <w:rPr>
          <w:lang w:val="sr-Cyrl-RS"/>
        </w:rPr>
        <w:t>С</w:t>
      </w:r>
      <w:r w:rsidR="00616D22">
        <w:t xml:space="preserve">тога сугеришемо да се овај члан измени тако да </w:t>
      </w:r>
      <w:r w:rsidR="00B53F11">
        <w:t>се проценама утицаја на заштиту података не описују само безбедносни услови, већ да оне обухвате укупн</w:t>
      </w:r>
      <w:r w:rsidR="00972730">
        <w:t>о</w:t>
      </w:r>
      <w:r w:rsidR="00B53F11">
        <w:t xml:space="preserve"> пре</w:t>
      </w:r>
      <w:r w:rsidR="00972730">
        <w:t>испитивање</w:t>
      </w:r>
      <w:r w:rsidR="00B53F11">
        <w:t xml:space="preserve"> свих важних аспеката заштите података</w:t>
      </w:r>
      <w:r w:rsidR="004A69F4" w:rsidRPr="006E4BB9">
        <w:t xml:space="preserve"> (</w:t>
      </w:r>
      <w:r w:rsidR="00B53F11">
        <w:t>законитост, транспарентност</w:t>
      </w:r>
      <w:r w:rsidR="004A69F4" w:rsidRPr="006E4BB9">
        <w:t xml:space="preserve">, </w:t>
      </w:r>
      <w:r w:rsidR="00B53F11">
        <w:t>минимизацију података, итд</w:t>
      </w:r>
      <w:r w:rsidR="004A69F4" w:rsidRPr="006E4BB9">
        <w:t>.</w:t>
      </w:r>
      <w:r w:rsidR="006634A6" w:rsidRPr="006E4BB9">
        <w:t xml:space="preserve"> – </w:t>
      </w:r>
      <w:r w:rsidR="00B53F11">
        <w:t>у погледу препознатог ризика</w:t>
      </w:r>
      <w:r w:rsidR="0096535B" w:rsidRPr="006E4BB9">
        <w:t>).</w:t>
      </w:r>
    </w:p>
    <w:p w14:paraId="2973C2AB" w14:textId="77777777" w:rsidR="00904ABF" w:rsidRPr="006E4BB9" w:rsidRDefault="00B53F11" w:rsidP="00904ABF">
      <w:pPr>
        <w:spacing w:before="160"/>
        <w:jc w:val="both"/>
        <w:rPr>
          <w:b/>
          <w:bCs/>
        </w:rPr>
      </w:pPr>
      <w:r>
        <w:rPr>
          <w:b/>
          <w:bCs/>
        </w:rPr>
        <w:t>Члан</w:t>
      </w:r>
      <w:r w:rsidR="00904ABF" w:rsidRPr="006E4BB9">
        <w:rPr>
          <w:b/>
          <w:bCs/>
        </w:rPr>
        <w:t xml:space="preserve"> 55:</w:t>
      </w:r>
    </w:p>
    <w:p w14:paraId="58FFF143" w14:textId="77777777" w:rsidR="00904ABF" w:rsidRPr="006E4BB9" w:rsidRDefault="00B53F11" w:rsidP="00904ABF">
      <w:pPr>
        <w:spacing w:before="120" w:after="0" w:line="240" w:lineRule="auto"/>
        <w:jc w:val="both"/>
      </w:pPr>
      <w:r>
        <w:t xml:space="preserve">Код утврђивања рокова у овом члану треба се држати рокова утврђених у </w:t>
      </w:r>
      <w:r w:rsidR="00CA510A" w:rsidRPr="006E4BB9">
        <w:rPr>
          <w:i/>
        </w:rPr>
        <w:t>GDPR</w:t>
      </w:r>
      <w:r w:rsidR="00904ABF" w:rsidRPr="006E4BB9">
        <w:t xml:space="preserve">. </w:t>
      </w:r>
    </w:p>
    <w:p w14:paraId="6DD77AB1" w14:textId="10FC72D4" w:rsidR="00904ABF" w:rsidRPr="006E4BB9" w:rsidRDefault="008F05A5" w:rsidP="00904ABF">
      <w:pPr>
        <w:spacing w:before="120" w:after="0" w:line="240" w:lineRule="auto"/>
        <w:jc w:val="both"/>
      </w:pPr>
      <w:r>
        <w:t xml:space="preserve">Сматрамо да ставом 7. </w:t>
      </w:r>
      <w:r w:rsidR="00793841">
        <w:rPr>
          <w:lang w:val="sr-Cyrl-RS"/>
        </w:rPr>
        <w:t>тачка</w:t>
      </w:r>
      <w:r w:rsidR="00793841" w:rsidRPr="006E4BB9">
        <w:t xml:space="preserve"> </w:t>
      </w:r>
      <w:r w:rsidR="00904ABF" w:rsidRPr="006E4BB9">
        <w:t xml:space="preserve">3) </w:t>
      </w:r>
      <w:r w:rsidR="00793841">
        <w:rPr>
          <w:lang w:val="sr-Cyrl-RS"/>
        </w:rPr>
        <w:t>није</w:t>
      </w:r>
      <w:r>
        <w:t xml:space="preserve"> јасно </w:t>
      </w:r>
      <w:r w:rsidR="00793841">
        <w:rPr>
          <w:lang w:val="sr-Cyrl-RS"/>
        </w:rPr>
        <w:t xml:space="preserve">прописано </w:t>
      </w:r>
      <w:r>
        <w:t xml:space="preserve">да Повереник треба да буде обавештен о мерама и заштитним мерама предвиђеним да би се заштитила права и слободе лица на која се подаци односе у складу са овим Законом </w:t>
      </w:r>
      <w:r w:rsidR="00B66844" w:rsidRPr="006E4BB9">
        <w:t xml:space="preserve">– </w:t>
      </w:r>
      <w:r>
        <w:t>а не само о мерама безбедности (видети коментар на члан 5</w:t>
      </w:r>
      <w:r w:rsidR="00B66844" w:rsidRPr="006E4BB9">
        <w:t xml:space="preserve">4 </w:t>
      </w:r>
      <w:r>
        <w:t>овог Закона</w:t>
      </w:r>
      <w:r w:rsidR="00B66844" w:rsidRPr="006E4BB9">
        <w:t xml:space="preserve">). </w:t>
      </w:r>
      <w:r w:rsidR="006509DC">
        <w:rPr>
          <w:lang w:val="sr-Cyrl-RS"/>
        </w:rPr>
        <w:t>С</w:t>
      </w:r>
      <w:r>
        <w:t>угеришемо да Закон треба изменити у овом погледу</w:t>
      </w:r>
      <w:r w:rsidR="00B66844" w:rsidRPr="006E4BB9">
        <w:t xml:space="preserve">. </w:t>
      </w:r>
    </w:p>
    <w:p w14:paraId="7E8AD2F4" w14:textId="77777777" w:rsidR="00904ABF" w:rsidRPr="006E4BB9" w:rsidRDefault="008F05A5" w:rsidP="00904ABF">
      <w:pPr>
        <w:spacing w:before="160"/>
        <w:jc w:val="both"/>
        <w:rPr>
          <w:b/>
          <w:bCs/>
        </w:rPr>
      </w:pPr>
      <w:r>
        <w:rPr>
          <w:b/>
          <w:bCs/>
        </w:rPr>
        <w:t xml:space="preserve">Члан </w:t>
      </w:r>
      <w:r w:rsidR="00904ABF" w:rsidRPr="006E4BB9">
        <w:rPr>
          <w:b/>
          <w:bCs/>
        </w:rPr>
        <w:t>56:</w:t>
      </w:r>
    </w:p>
    <w:p w14:paraId="2ECBE82E" w14:textId="77777777" w:rsidR="006634A6" w:rsidRPr="006E4BB9" w:rsidRDefault="008F05A5" w:rsidP="006634A6">
      <w:r>
        <w:t xml:space="preserve">Последњим ставом је предвиђено да Повереник прописује облик евиденције </w:t>
      </w:r>
      <w:r w:rsidR="00CE686D">
        <w:t>лица</w:t>
      </w:r>
      <w:r>
        <w:t xml:space="preserve"> за заштиту података и уређује начин вођења те евиденције. Ово треба додати задацима Повереника који су уређени чланом </w:t>
      </w:r>
      <w:r w:rsidR="00904ABF" w:rsidRPr="006E4BB9">
        <w:t>78</w:t>
      </w:r>
      <w:r>
        <w:t>. Закона</w:t>
      </w:r>
      <w:r w:rsidR="00904ABF" w:rsidRPr="006E4BB9">
        <w:t>.</w:t>
      </w:r>
    </w:p>
    <w:p w14:paraId="5F970B32" w14:textId="5BD246C7" w:rsidR="0034111A" w:rsidRPr="006E4BB9" w:rsidRDefault="006509DC" w:rsidP="006634A6">
      <w:pPr>
        <w:jc w:val="both"/>
      </w:pPr>
      <w:r>
        <w:rPr>
          <w:lang w:val="sr-Cyrl-RS"/>
        </w:rPr>
        <w:lastRenderedPageBreak/>
        <w:t>П</w:t>
      </w:r>
      <w:r w:rsidR="00CE686D">
        <w:t>репоручујемо да се Законом осим тога пропишу и прецизинији услови за именовање лица за заштиту података за државне органе или тека, у погледу његовог образовања, стручног знања, вештина и искуства у области заштите података о личности.</w:t>
      </w:r>
      <w:r w:rsidR="0034111A" w:rsidRPr="006E4BB9">
        <w:t xml:space="preserve"> </w:t>
      </w:r>
    </w:p>
    <w:p w14:paraId="409558E0" w14:textId="77777777" w:rsidR="00904ABF" w:rsidRPr="006E4BB9" w:rsidRDefault="00CE686D" w:rsidP="00904ABF">
      <w:pPr>
        <w:spacing w:before="160"/>
        <w:jc w:val="both"/>
        <w:rPr>
          <w:b/>
          <w:bCs/>
        </w:rPr>
      </w:pPr>
      <w:r>
        <w:rPr>
          <w:b/>
          <w:bCs/>
        </w:rPr>
        <w:t xml:space="preserve">Члан </w:t>
      </w:r>
      <w:r w:rsidR="00904ABF" w:rsidRPr="006E4BB9">
        <w:rPr>
          <w:b/>
          <w:bCs/>
        </w:rPr>
        <w:t>57:</w:t>
      </w:r>
    </w:p>
    <w:p w14:paraId="3C7F6FCD" w14:textId="77777777" w:rsidR="00904ABF" w:rsidRPr="006E4BB9" w:rsidRDefault="00CE686D" w:rsidP="00904ABF">
      <w:pPr>
        <w:spacing w:before="120" w:after="0" w:line="240" w:lineRule="auto"/>
        <w:jc w:val="both"/>
      </w:pPr>
      <w:r>
        <w:t>Независност лица за заштиту података коју ће руковалац</w:t>
      </w:r>
      <w:r w:rsidR="003F57D1">
        <w:t xml:space="preserve"> и обрађивач</w:t>
      </w:r>
      <w:r>
        <w:t xml:space="preserve"> обезбедити у складу са ставом 3.</w:t>
      </w:r>
      <w:r w:rsidR="00904ABF" w:rsidRPr="006E4BB9">
        <w:t xml:space="preserve"> </w:t>
      </w:r>
      <w:r>
        <w:t>није</w:t>
      </w:r>
      <w:r w:rsidR="00A1360D" w:rsidRPr="006E4BB9">
        <w:t xml:space="preserve"> </w:t>
      </w:r>
      <w:r>
        <w:t xml:space="preserve">прецизирана у оквиру постојећег текста Закона. Која врста независности </w:t>
      </w:r>
      <w:r w:rsidR="00904ABF" w:rsidRPr="006E4BB9">
        <w:t>(</w:t>
      </w:r>
      <w:r>
        <w:t>финансијска, организациона, професионална, …</w:t>
      </w:r>
      <w:r w:rsidR="00904ABF" w:rsidRPr="006E4BB9">
        <w:t xml:space="preserve">) </w:t>
      </w:r>
      <w:r>
        <w:t>треба да буде обезбеђена</w:t>
      </w:r>
      <w:r w:rsidR="00904ABF" w:rsidRPr="006E4BB9">
        <w:t xml:space="preserve">? </w:t>
      </w:r>
    </w:p>
    <w:p w14:paraId="7FF0F0EC" w14:textId="77777777" w:rsidR="00904ABF" w:rsidRPr="006E4BB9" w:rsidRDefault="00CE686D" w:rsidP="00904ABF">
      <w:pPr>
        <w:spacing w:before="120" w:after="0" w:line="240" w:lineRule="auto"/>
        <w:jc w:val="both"/>
        <w:rPr>
          <w:b/>
          <w:bCs/>
        </w:rPr>
      </w:pPr>
      <w:r>
        <w:rPr>
          <w:b/>
          <w:bCs/>
        </w:rPr>
        <w:t>Члан</w:t>
      </w:r>
      <w:r w:rsidR="00904ABF" w:rsidRPr="006E4BB9">
        <w:rPr>
          <w:b/>
          <w:bCs/>
        </w:rPr>
        <w:t xml:space="preserve"> 59:</w:t>
      </w:r>
    </w:p>
    <w:p w14:paraId="59578BB0" w14:textId="77777777" w:rsidR="000D7292" w:rsidRPr="006E4BB9" w:rsidRDefault="00CE686D" w:rsidP="000D7292">
      <w:pPr>
        <w:spacing w:before="120" w:after="0" w:line="240" w:lineRule="auto"/>
        <w:jc w:val="both"/>
        <w:rPr>
          <w:szCs w:val="24"/>
        </w:rPr>
      </w:pPr>
      <w:r>
        <w:t>Према нашем мишљењу ставом</w:t>
      </w:r>
      <w:r w:rsidR="000D7292" w:rsidRPr="006E4BB9">
        <w:t xml:space="preserve"> 1</w:t>
      </w:r>
      <w:r>
        <w:t>.</w:t>
      </w:r>
      <w:r w:rsidR="000D7292" w:rsidRPr="006E4BB9">
        <w:t xml:space="preserve"> </w:t>
      </w:r>
      <w:r>
        <w:t>ставка</w:t>
      </w:r>
      <w:r w:rsidR="000D7292" w:rsidRPr="006E4BB9">
        <w:t xml:space="preserve"> 11) </w:t>
      </w:r>
      <w:r>
        <w:t xml:space="preserve">се не предвиђа довољно јасно да </w:t>
      </w:r>
      <w:r w:rsidR="005C4C39">
        <w:t>кодекси поступања</w:t>
      </w:r>
      <w:r>
        <w:t xml:space="preserve"> треба да </w:t>
      </w:r>
      <w:r w:rsidR="005C4C39">
        <w:t>се бав</w:t>
      </w:r>
      <w:r w:rsidR="00B37553">
        <w:t>е</w:t>
      </w:r>
      <w:r w:rsidR="005C4C39">
        <w:t xml:space="preserve"> начинима решавања спора мирним путем код решавања спорова између </w:t>
      </w:r>
      <w:r w:rsidR="003F57D1">
        <w:t>руковаоца</w:t>
      </w:r>
      <w:r w:rsidR="005C4C39">
        <w:t xml:space="preserve"> и лица на која се подаци односе </w:t>
      </w:r>
      <w:r w:rsidR="005C4C39">
        <w:rPr>
          <w:i/>
          <w:szCs w:val="24"/>
        </w:rPr>
        <w:t>у погледу обраде података</w:t>
      </w:r>
      <w:r w:rsidR="005C4C39">
        <w:rPr>
          <w:szCs w:val="24"/>
        </w:rPr>
        <w:t>. Ово треба да буде јасно како би се избегла сва погрешна тумачења о природи спорова</w:t>
      </w:r>
      <w:r w:rsidR="000D7292" w:rsidRPr="006E4BB9">
        <w:rPr>
          <w:szCs w:val="24"/>
        </w:rPr>
        <w:t>.</w:t>
      </w:r>
    </w:p>
    <w:p w14:paraId="0E96C5D1" w14:textId="77777777" w:rsidR="000D7292" w:rsidRPr="006E4BB9" w:rsidRDefault="005C4C39" w:rsidP="000D7292">
      <w:pPr>
        <w:spacing w:before="120" w:after="0" w:line="240" w:lineRule="auto"/>
        <w:jc w:val="both"/>
        <w:rPr>
          <w:szCs w:val="24"/>
        </w:rPr>
      </w:pPr>
      <w:r>
        <w:rPr>
          <w:szCs w:val="24"/>
        </w:rPr>
        <w:t>Што се тиче става</w:t>
      </w:r>
      <w:r w:rsidR="000D7292" w:rsidRPr="006E4BB9">
        <w:rPr>
          <w:szCs w:val="24"/>
        </w:rPr>
        <w:t xml:space="preserve"> 2</w:t>
      </w:r>
      <w:r>
        <w:rPr>
          <w:szCs w:val="24"/>
        </w:rPr>
        <w:t xml:space="preserve">, наш је савет да се унесе упућивање на територијалну област примере закона како би се јасно описало на које </w:t>
      </w:r>
      <w:r w:rsidR="003F57D1">
        <w:rPr>
          <w:szCs w:val="24"/>
        </w:rPr>
        <w:t>руковаоце</w:t>
      </w:r>
      <w:r>
        <w:rPr>
          <w:szCs w:val="24"/>
        </w:rPr>
        <w:t xml:space="preserve"> или </w:t>
      </w:r>
      <w:r w:rsidR="003F57D1">
        <w:rPr>
          <w:szCs w:val="24"/>
        </w:rPr>
        <w:t>обрађиваче</w:t>
      </w:r>
      <w:r>
        <w:rPr>
          <w:szCs w:val="24"/>
        </w:rPr>
        <w:t xml:space="preserve"> се овај Закон не </w:t>
      </w:r>
      <w:r w:rsidR="00B37553">
        <w:rPr>
          <w:szCs w:val="24"/>
        </w:rPr>
        <w:t>примењује</w:t>
      </w:r>
      <w:r>
        <w:rPr>
          <w:szCs w:val="24"/>
        </w:rPr>
        <w:t xml:space="preserve">. На пример: „… </w:t>
      </w:r>
      <w:r>
        <w:rPr>
          <w:i/>
          <w:szCs w:val="24"/>
        </w:rPr>
        <w:t>руковаоци</w:t>
      </w:r>
      <w:r w:rsidR="003F57D1">
        <w:rPr>
          <w:i/>
          <w:szCs w:val="24"/>
        </w:rPr>
        <w:t xml:space="preserve"> или обрађивачи</w:t>
      </w:r>
      <w:r>
        <w:rPr>
          <w:i/>
          <w:szCs w:val="24"/>
        </w:rPr>
        <w:t xml:space="preserve"> који на које се овај Закон не </w:t>
      </w:r>
      <w:r w:rsidR="00B37553">
        <w:rPr>
          <w:i/>
          <w:szCs w:val="24"/>
        </w:rPr>
        <w:t>примењује</w:t>
      </w:r>
      <w:r>
        <w:rPr>
          <w:b/>
          <w:i/>
          <w:szCs w:val="24"/>
        </w:rPr>
        <w:t xml:space="preserve">, у складу са чланом </w:t>
      </w:r>
      <w:r w:rsidR="000D7292" w:rsidRPr="006E4BB9">
        <w:rPr>
          <w:b/>
          <w:i/>
          <w:szCs w:val="24"/>
        </w:rPr>
        <w:t>3</w:t>
      </w:r>
      <w:r>
        <w:rPr>
          <w:b/>
          <w:i/>
          <w:szCs w:val="24"/>
        </w:rPr>
        <w:t>. став</w:t>
      </w:r>
      <w:r w:rsidR="000D7292" w:rsidRPr="006E4BB9">
        <w:rPr>
          <w:b/>
          <w:i/>
          <w:szCs w:val="24"/>
        </w:rPr>
        <w:t xml:space="preserve"> 3</w:t>
      </w:r>
      <w:r>
        <w:rPr>
          <w:b/>
          <w:i/>
          <w:szCs w:val="24"/>
        </w:rPr>
        <w:t>.</w:t>
      </w:r>
      <w:r w:rsidR="000D7292" w:rsidRPr="006E4BB9">
        <w:rPr>
          <w:b/>
          <w:i/>
          <w:szCs w:val="24"/>
        </w:rPr>
        <w:t xml:space="preserve"> </w:t>
      </w:r>
      <w:r>
        <w:rPr>
          <w:b/>
          <w:i/>
          <w:szCs w:val="24"/>
        </w:rPr>
        <w:t>или став</w:t>
      </w:r>
      <w:r w:rsidR="000D7292" w:rsidRPr="006E4BB9">
        <w:rPr>
          <w:b/>
          <w:i/>
          <w:szCs w:val="24"/>
        </w:rPr>
        <w:t xml:space="preserve"> 4</w:t>
      </w:r>
      <w:r>
        <w:rPr>
          <w:i/>
          <w:szCs w:val="24"/>
        </w:rPr>
        <w:t xml:space="preserve"> могу се осим тога обавезати или поштовати…“.</w:t>
      </w:r>
    </w:p>
    <w:p w14:paraId="492FA576" w14:textId="77777777" w:rsidR="00753A86" w:rsidRPr="006E4BB9" w:rsidRDefault="00B37553" w:rsidP="00753A86">
      <w:pPr>
        <w:spacing w:before="120" w:after="0" w:line="240" w:lineRule="auto"/>
        <w:jc w:val="both"/>
        <w:rPr>
          <w:i/>
          <w:szCs w:val="24"/>
        </w:rPr>
      </w:pPr>
      <w:r>
        <w:rPr>
          <w:szCs w:val="24"/>
        </w:rPr>
        <w:t>Уз то и даље што се тиче става</w:t>
      </w:r>
      <w:r w:rsidR="000D7292" w:rsidRPr="006E4BB9">
        <w:rPr>
          <w:szCs w:val="24"/>
        </w:rPr>
        <w:t xml:space="preserve"> 2, </w:t>
      </w:r>
      <w:r>
        <w:rPr>
          <w:szCs w:val="24"/>
        </w:rPr>
        <w:t>треба да буде јасно да се заштитним мерама пружају права лицима на која се подаци односе</w:t>
      </w:r>
      <w:r w:rsidR="00753A86" w:rsidRPr="006E4BB9">
        <w:rPr>
          <w:szCs w:val="24"/>
        </w:rPr>
        <w:t xml:space="preserve">. </w:t>
      </w:r>
      <w:r>
        <w:rPr>
          <w:szCs w:val="24"/>
        </w:rPr>
        <w:t>На пример</w:t>
      </w:r>
      <w:r w:rsidR="00370839">
        <w:rPr>
          <w:szCs w:val="24"/>
        </w:rPr>
        <w:t>: „</w:t>
      </w:r>
      <w:r w:rsidR="00753A86" w:rsidRPr="006E4BB9">
        <w:rPr>
          <w:szCs w:val="24"/>
        </w:rPr>
        <w:t xml:space="preserve">… </w:t>
      </w:r>
      <w:r w:rsidR="00370839">
        <w:rPr>
          <w:i/>
          <w:szCs w:val="24"/>
        </w:rPr>
        <w:t xml:space="preserve">путем уговорних или других правно обавезујућих инструмената, којима се гарантује спровођење свих одговарајућих заштитних мера, а посебно у односу </w:t>
      </w:r>
      <w:r w:rsidR="00370839">
        <w:rPr>
          <w:b/>
          <w:i/>
          <w:szCs w:val="24"/>
        </w:rPr>
        <w:t>на права</w:t>
      </w:r>
      <w:r w:rsidR="00370839">
        <w:rPr>
          <w:i/>
          <w:szCs w:val="24"/>
        </w:rPr>
        <w:t xml:space="preserve"> лица на која се подаци односе</w:t>
      </w:r>
      <w:r w:rsidR="00753A86" w:rsidRPr="006E4BB9">
        <w:rPr>
          <w:i/>
          <w:szCs w:val="24"/>
        </w:rPr>
        <w:t>.</w:t>
      </w:r>
      <w:r w:rsidR="00370839">
        <w:rPr>
          <w:i/>
          <w:szCs w:val="24"/>
        </w:rPr>
        <w:t>“</w:t>
      </w:r>
    </w:p>
    <w:p w14:paraId="43EB8518" w14:textId="77777777" w:rsidR="00904ABF" w:rsidRPr="006E4BB9" w:rsidRDefault="000F77AA" w:rsidP="00904ABF">
      <w:pPr>
        <w:spacing w:before="120" w:after="0" w:line="240" w:lineRule="auto"/>
        <w:jc w:val="both"/>
        <w:rPr>
          <w:szCs w:val="24"/>
        </w:rPr>
      </w:pPr>
      <w:r>
        <w:rPr>
          <w:szCs w:val="24"/>
        </w:rPr>
        <w:t xml:space="preserve">У ставу </w:t>
      </w:r>
      <w:r w:rsidR="00904ABF" w:rsidRPr="006E4BB9">
        <w:rPr>
          <w:szCs w:val="24"/>
        </w:rPr>
        <w:t>3</w:t>
      </w:r>
      <w:r>
        <w:rPr>
          <w:szCs w:val="24"/>
        </w:rPr>
        <w:t>.</w:t>
      </w:r>
      <w:r w:rsidR="00904ABF" w:rsidRPr="006E4BB9">
        <w:rPr>
          <w:szCs w:val="24"/>
        </w:rPr>
        <w:t xml:space="preserve"> </w:t>
      </w:r>
      <w:r>
        <w:rPr>
          <w:szCs w:val="24"/>
        </w:rPr>
        <w:t>треба</w:t>
      </w:r>
      <w:r w:rsidR="00904ABF" w:rsidRPr="006E4BB9">
        <w:rPr>
          <w:szCs w:val="24"/>
        </w:rPr>
        <w:t xml:space="preserve"> </w:t>
      </w:r>
      <w:r>
        <w:rPr>
          <w:szCs w:val="24"/>
        </w:rPr>
        <w:t>јасно предвидети да кодекс поступања треба да садржи механизме (не одредбе</w:t>
      </w:r>
      <w:r w:rsidR="00904ABF" w:rsidRPr="006E4BB9">
        <w:rPr>
          <w:szCs w:val="24"/>
        </w:rPr>
        <w:t xml:space="preserve">) </w:t>
      </w:r>
      <w:r>
        <w:rPr>
          <w:szCs w:val="24"/>
        </w:rPr>
        <w:t>који омогућавају вршење надзора над применом кодекса</w:t>
      </w:r>
      <w:r w:rsidR="00904ABF" w:rsidRPr="006E4BB9">
        <w:rPr>
          <w:szCs w:val="24"/>
        </w:rPr>
        <w:t xml:space="preserve">. </w:t>
      </w:r>
      <w:r w:rsidR="00277886">
        <w:rPr>
          <w:szCs w:val="24"/>
        </w:rPr>
        <w:t xml:space="preserve">Осим тога треба јасно предвидети да је ово вршење надзора обавезно и да се, пошто се односе на одредбе чл. </w:t>
      </w:r>
      <w:r w:rsidR="00904ABF" w:rsidRPr="006E4BB9">
        <w:rPr>
          <w:szCs w:val="24"/>
        </w:rPr>
        <w:t>77</w:t>
      </w:r>
      <w:r w:rsidR="00277886">
        <w:rPr>
          <w:szCs w:val="24"/>
        </w:rPr>
        <w:t>.</w:t>
      </w:r>
      <w:r w:rsidR="00904ABF" w:rsidRPr="006E4BB9">
        <w:rPr>
          <w:szCs w:val="24"/>
        </w:rPr>
        <w:t xml:space="preserve"> </w:t>
      </w:r>
      <w:r w:rsidR="00277886">
        <w:rPr>
          <w:szCs w:val="24"/>
        </w:rPr>
        <w:t>до</w:t>
      </w:r>
      <w:r w:rsidR="00904ABF" w:rsidRPr="006E4BB9">
        <w:rPr>
          <w:szCs w:val="24"/>
        </w:rPr>
        <w:t xml:space="preserve"> 79, </w:t>
      </w:r>
      <w:r w:rsidR="00277886">
        <w:rPr>
          <w:szCs w:val="24"/>
        </w:rPr>
        <w:t xml:space="preserve">тим механизмима не доводе у питање задаци и овлашћења Повереника, а не само </w:t>
      </w:r>
      <w:r w:rsidR="00904ABF" w:rsidRPr="006E4BB9">
        <w:rPr>
          <w:szCs w:val="24"/>
        </w:rPr>
        <w:t>(</w:t>
      </w:r>
      <w:r w:rsidR="00277886">
        <w:rPr>
          <w:szCs w:val="24"/>
        </w:rPr>
        <w:t>инспекцијска и остала</w:t>
      </w:r>
      <w:r w:rsidR="00904ABF" w:rsidRPr="006E4BB9">
        <w:rPr>
          <w:szCs w:val="24"/>
        </w:rPr>
        <w:t xml:space="preserve">) </w:t>
      </w:r>
      <w:r w:rsidR="00277886">
        <w:rPr>
          <w:szCs w:val="24"/>
        </w:rPr>
        <w:t>овлашће</w:t>
      </w:r>
      <w:r w:rsidR="002B19FC">
        <w:rPr>
          <w:szCs w:val="24"/>
        </w:rPr>
        <w:t xml:space="preserve">ња </w:t>
      </w:r>
      <w:r w:rsidR="00277886">
        <w:rPr>
          <w:szCs w:val="24"/>
        </w:rPr>
        <w:t>предвиђена у Закону</w:t>
      </w:r>
      <w:r w:rsidR="00904ABF" w:rsidRPr="006E4BB9">
        <w:rPr>
          <w:szCs w:val="24"/>
        </w:rPr>
        <w:t>.</w:t>
      </w:r>
    </w:p>
    <w:p w14:paraId="3D5DD2C5" w14:textId="77777777" w:rsidR="00904ABF" w:rsidRPr="006E4BB9" w:rsidRDefault="00277886" w:rsidP="00904ABF">
      <w:pPr>
        <w:spacing w:before="120" w:after="0" w:line="240" w:lineRule="auto"/>
        <w:jc w:val="both"/>
        <w:rPr>
          <w:b/>
          <w:bCs/>
          <w:szCs w:val="24"/>
        </w:rPr>
      </w:pPr>
      <w:r>
        <w:rPr>
          <w:b/>
          <w:bCs/>
          <w:szCs w:val="24"/>
        </w:rPr>
        <w:t xml:space="preserve">Члан </w:t>
      </w:r>
      <w:r w:rsidR="00904ABF" w:rsidRPr="006E4BB9">
        <w:rPr>
          <w:b/>
          <w:bCs/>
          <w:szCs w:val="24"/>
        </w:rPr>
        <w:t>60:</w:t>
      </w:r>
    </w:p>
    <w:p w14:paraId="536B9C5E" w14:textId="77777777" w:rsidR="0093300B" w:rsidRPr="006E4BB9" w:rsidRDefault="00277886" w:rsidP="00904ABF">
      <w:pPr>
        <w:spacing w:before="120" w:after="0" w:line="240" w:lineRule="auto"/>
        <w:jc w:val="both"/>
      </w:pPr>
      <w:r>
        <w:t xml:space="preserve">Према ставу </w:t>
      </w:r>
      <w:r w:rsidR="00753A86" w:rsidRPr="006E4BB9">
        <w:t>1</w:t>
      </w:r>
      <w:r>
        <w:t>.</w:t>
      </w:r>
      <w:r w:rsidR="00753A86" w:rsidRPr="006E4BB9">
        <w:t xml:space="preserve"> </w:t>
      </w:r>
      <w:r>
        <w:t>предузетник</w:t>
      </w:r>
      <w:r w:rsidR="00753A86" w:rsidRPr="006E4BB9">
        <w:t xml:space="preserve"> </w:t>
      </w:r>
      <w:r>
        <w:t>или друго правно лице у складу са законом којим се уређује акредитација могу бити акредитовани за вршење контроле примене кодекса поступања</w:t>
      </w:r>
      <w:r w:rsidR="00FA00B1" w:rsidRPr="006E4BB9">
        <w:t xml:space="preserve">. </w:t>
      </w:r>
      <w:r>
        <w:t>Према ставу</w:t>
      </w:r>
      <w:r w:rsidR="00904ABF" w:rsidRPr="006E4BB9">
        <w:t xml:space="preserve"> 3</w:t>
      </w:r>
      <w:r>
        <w:t>.</w:t>
      </w:r>
      <w:r w:rsidR="00904ABF" w:rsidRPr="006E4BB9">
        <w:t xml:space="preserve"> </w:t>
      </w:r>
      <w:r>
        <w:t xml:space="preserve">ставке </w:t>
      </w:r>
      <w:r w:rsidR="009C1620" w:rsidRPr="006E4BB9">
        <w:t xml:space="preserve">1) </w:t>
      </w:r>
      <w:r>
        <w:t>и</w:t>
      </w:r>
      <w:r w:rsidR="009C1620" w:rsidRPr="006E4BB9">
        <w:t xml:space="preserve"> 4)</w:t>
      </w:r>
      <w:r w:rsidR="00F06E79">
        <w:t>, Повереник, тиме што даје своје мишљење, такође учествује у овом поступку. Однос из</w:t>
      </w:r>
      <w:r w:rsidR="002B19FC">
        <w:t>међу закона којим се уређује ак</w:t>
      </w:r>
      <w:r w:rsidR="00F06E79">
        <w:t>редитација и Закона је нејасан</w:t>
      </w:r>
      <w:r w:rsidR="00904ABF" w:rsidRPr="006E4BB9">
        <w:t xml:space="preserve">. </w:t>
      </w:r>
      <w:r w:rsidR="00F06E79">
        <w:t xml:space="preserve">Ми претпостављамо да закон којим се уређује акредитација не прописује посебно улогу Повереника, нити као тела које издаје акредитацију, нити као учесника у поступку било које врсте. У члану </w:t>
      </w:r>
      <w:r w:rsidR="00904ABF" w:rsidRPr="006E4BB9">
        <w:t>78</w:t>
      </w:r>
      <w:r w:rsidR="00F06E79">
        <w:t>. Закона су такође набројани задаци Повереника, и ни ту није предвиђен задатак те врсте</w:t>
      </w:r>
      <w:r w:rsidR="00904ABF" w:rsidRPr="006E4BB9">
        <w:t>.</w:t>
      </w:r>
      <w:r w:rsidR="0093300B" w:rsidRPr="006E4BB9">
        <w:t xml:space="preserve"> </w:t>
      </w:r>
    </w:p>
    <w:p w14:paraId="625AA2F4" w14:textId="77777777" w:rsidR="00904ABF" w:rsidRPr="006E4BB9" w:rsidRDefault="00F06E79" w:rsidP="00904ABF">
      <w:pPr>
        <w:spacing w:before="120" w:after="0" w:line="240" w:lineRule="auto"/>
        <w:jc w:val="both"/>
      </w:pPr>
      <w:r>
        <w:t>Надлежности појединачних органа треба да буду појашњене законом – ми бисмо саветовали да се у Закону јасно наведе који је орган надлежан за издавање акредитације и шта је, ако уопште и постоји, улога Повереника у том процесу. Овим би се избегао могући спор око надлежности и друга спорна питања у вези са овим поступком.</w:t>
      </w:r>
      <w:r w:rsidR="009C1620" w:rsidRPr="006E4BB9">
        <w:t xml:space="preserve">  </w:t>
      </w:r>
    </w:p>
    <w:p w14:paraId="4A2A5E8E" w14:textId="77777777" w:rsidR="00904ABF" w:rsidRPr="006E4BB9" w:rsidRDefault="004020E4" w:rsidP="00904ABF">
      <w:pPr>
        <w:spacing w:before="120" w:after="0" w:line="240" w:lineRule="auto"/>
        <w:jc w:val="both"/>
        <w:rPr>
          <w:b/>
          <w:bCs/>
        </w:rPr>
      </w:pPr>
      <w:r>
        <w:rPr>
          <w:b/>
          <w:bCs/>
        </w:rPr>
        <w:t xml:space="preserve">Члан </w:t>
      </w:r>
      <w:r w:rsidR="00904ABF" w:rsidRPr="006E4BB9">
        <w:rPr>
          <w:b/>
          <w:bCs/>
        </w:rPr>
        <w:t>61:</w:t>
      </w:r>
    </w:p>
    <w:p w14:paraId="567A4759" w14:textId="77777777" w:rsidR="00904ABF" w:rsidRPr="006E4BB9" w:rsidRDefault="004020E4" w:rsidP="00904ABF">
      <w:pPr>
        <w:spacing w:before="120" w:after="0" w:line="240" w:lineRule="auto"/>
        <w:jc w:val="both"/>
      </w:pPr>
      <w:r>
        <w:t xml:space="preserve">Ставом </w:t>
      </w:r>
      <w:r w:rsidR="00904ABF" w:rsidRPr="006E4BB9">
        <w:t>1</w:t>
      </w:r>
      <w:r>
        <w:t>. је</w:t>
      </w:r>
      <w:r w:rsidR="00904ABF" w:rsidRPr="006E4BB9">
        <w:t xml:space="preserve"> </w:t>
      </w:r>
      <w:r>
        <w:t>предвиђено да механизми за издавање сертификата о заштити података о личности и жигови и ознаке за заштиту података могу бити установљени узимајући у обзир специфичне потребе малих и средњих предузећа. Ми не видимо разлог за изостављање микро предузећа</w:t>
      </w:r>
      <w:r w:rsidR="00904ABF" w:rsidRPr="006E4BB9">
        <w:t>.</w:t>
      </w:r>
    </w:p>
    <w:p w14:paraId="2C101266" w14:textId="77777777" w:rsidR="00904ABF" w:rsidRPr="006E4BB9" w:rsidRDefault="004020E4" w:rsidP="00904ABF">
      <w:pPr>
        <w:spacing w:before="120" w:after="0" w:line="240" w:lineRule="auto"/>
        <w:jc w:val="both"/>
        <w:rPr>
          <w:b/>
          <w:bCs/>
        </w:rPr>
      </w:pPr>
      <w:r>
        <w:rPr>
          <w:b/>
          <w:bCs/>
        </w:rPr>
        <w:t>Члан</w:t>
      </w:r>
      <w:r w:rsidR="00904ABF" w:rsidRPr="006E4BB9">
        <w:rPr>
          <w:b/>
          <w:bCs/>
        </w:rPr>
        <w:t xml:space="preserve"> 62:</w:t>
      </w:r>
    </w:p>
    <w:p w14:paraId="7F9EB090" w14:textId="77777777" w:rsidR="00904ABF" w:rsidRPr="006E4BB9" w:rsidRDefault="004020E4" w:rsidP="00904ABF">
      <w:pPr>
        <w:jc w:val="both"/>
      </w:pPr>
      <w:r>
        <w:t xml:space="preserve">Ставом </w:t>
      </w:r>
      <w:r w:rsidR="00904ABF" w:rsidRPr="006E4BB9">
        <w:t>1</w:t>
      </w:r>
      <w:r>
        <w:t>. је предвиђено да се сертификационо тело акредитује у складу са законом којим се уређује акредитација</w:t>
      </w:r>
      <w:r w:rsidR="00904ABF" w:rsidRPr="006E4BB9">
        <w:t>.</w:t>
      </w:r>
    </w:p>
    <w:p w14:paraId="05E87888" w14:textId="77777777" w:rsidR="00904ABF" w:rsidRPr="006E4BB9" w:rsidRDefault="004020E4" w:rsidP="00904ABF">
      <w:pPr>
        <w:jc w:val="both"/>
        <w:rPr>
          <w:rFonts w:eastAsia="SimSun"/>
        </w:rPr>
      </w:pPr>
      <w:r>
        <w:lastRenderedPageBreak/>
        <w:t xml:space="preserve">У ставу </w:t>
      </w:r>
      <w:r w:rsidR="00904ABF" w:rsidRPr="006E4BB9">
        <w:t>2</w:t>
      </w:r>
      <w:r>
        <w:t>.</w:t>
      </w:r>
      <w:r w:rsidR="00904ABF" w:rsidRPr="006E4BB9">
        <w:t xml:space="preserve"> </w:t>
      </w:r>
      <w:r>
        <w:t>се</w:t>
      </w:r>
      <w:r w:rsidR="00904ABF" w:rsidRPr="006E4BB9">
        <w:t xml:space="preserve"> </w:t>
      </w:r>
      <w:r>
        <w:t xml:space="preserve">у поступак сертификације укључује Повереник </w:t>
      </w:r>
      <w:r w:rsidR="00904ABF" w:rsidRPr="006E4BB9">
        <w:t>(</w:t>
      </w:r>
      <w:r>
        <w:t xml:space="preserve">његово мишљење), док је у ставу </w:t>
      </w:r>
      <w:r w:rsidR="00904ABF" w:rsidRPr="006E4BB9">
        <w:t>3</w:t>
      </w:r>
      <w:r>
        <w:t>.</w:t>
      </w:r>
      <w:r w:rsidR="00904ABF" w:rsidRPr="006E4BB9">
        <w:t xml:space="preserve"> </w:t>
      </w:r>
      <w:r>
        <w:t>јасно</w:t>
      </w:r>
      <w:r w:rsidR="00904ABF" w:rsidRPr="006E4BB9">
        <w:t xml:space="preserve"> </w:t>
      </w:r>
      <w:r>
        <w:t xml:space="preserve">предвиђено да Повереник утврђује критеријуме за акредитацију сертификационих тела у складу са условима на које се упућује у ставу </w:t>
      </w:r>
      <w:r w:rsidR="00904ABF" w:rsidRPr="006E4BB9">
        <w:rPr>
          <w:szCs w:val="24"/>
        </w:rPr>
        <w:t xml:space="preserve">2.  </w:t>
      </w:r>
      <w:r w:rsidR="00E10BB0">
        <w:rPr>
          <w:szCs w:val="24"/>
        </w:rPr>
        <w:t xml:space="preserve">Такође је јасно предвиђено да се сертификационо тело може акредитовати само ако Поверенику пружи доказ да задовољава услове прописане ставом </w:t>
      </w:r>
      <w:r w:rsidR="00904ABF" w:rsidRPr="006E4BB9">
        <w:t xml:space="preserve">2. </w:t>
      </w:r>
    </w:p>
    <w:p w14:paraId="4264A264" w14:textId="77777777" w:rsidR="00904ABF" w:rsidRPr="006E4BB9" w:rsidRDefault="00E10BB0" w:rsidP="00904ABF">
      <w:pPr>
        <w:spacing w:before="120" w:after="0" w:line="240" w:lineRule="auto"/>
        <w:jc w:val="both"/>
      </w:pPr>
      <w:r>
        <w:t>У члану</w:t>
      </w:r>
      <w:r w:rsidR="00904ABF" w:rsidRPr="006E4BB9">
        <w:t xml:space="preserve"> 78</w:t>
      </w:r>
      <w:r>
        <w:t>. Закона у коме су набројани задаци Повереника</w:t>
      </w:r>
      <w:r w:rsidR="00904ABF" w:rsidRPr="006E4BB9">
        <w:t xml:space="preserve"> </w:t>
      </w:r>
      <w:r>
        <w:t xml:space="preserve">се заиста предвиђа да Повереник прописује и објављује критеријуме за акредитацију сертификационог тела у складу са чланом </w:t>
      </w:r>
      <w:r w:rsidR="00904ABF" w:rsidRPr="006E4BB9">
        <w:rPr>
          <w:szCs w:val="24"/>
        </w:rPr>
        <w:t>62</w:t>
      </w:r>
      <w:r>
        <w:rPr>
          <w:szCs w:val="24"/>
        </w:rPr>
        <w:t>. овог</w:t>
      </w:r>
      <w:r w:rsidR="00904ABF" w:rsidRPr="006E4BB9">
        <w:rPr>
          <w:szCs w:val="24"/>
        </w:rPr>
        <w:t xml:space="preserve"> </w:t>
      </w:r>
      <w:r>
        <w:rPr>
          <w:szCs w:val="24"/>
        </w:rPr>
        <w:t>Закона</w:t>
      </w:r>
      <w:r w:rsidR="00904ABF" w:rsidRPr="006E4BB9">
        <w:rPr>
          <w:szCs w:val="24"/>
        </w:rPr>
        <w:t>.</w:t>
      </w:r>
      <w:r>
        <w:rPr>
          <w:szCs w:val="24"/>
        </w:rPr>
        <w:t xml:space="preserve"> У њему се не помиње давање мишљења у том процесу</w:t>
      </w:r>
      <w:r w:rsidR="00904ABF" w:rsidRPr="006E4BB9">
        <w:rPr>
          <w:szCs w:val="24"/>
        </w:rPr>
        <w:t xml:space="preserve">. </w:t>
      </w:r>
    </w:p>
    <w:p w14:paraId="29B6BDE1" w14:textId="77777777" w:rsidR="00E10BB0" w:rsidRDefault="002B19FC" w:rsidP="00904ABF">
      <w:pPr>
        <w:spacing w:before="240" w:after="200" w:line="240" w:lineRule="auto"/>
        <w:jc w:val="both"/>
      </w:pPr>
      <w:r>
        <w:t>Надлеж</w:t>
      </w:r>
      <w:r w:rsidR="00E10BB0">
        <w:t>ности појединачних органа треба да буду појашњене и треба размотрити измену Закона у том смислу. Улога Повереника у овом процесу мора да буде јасно прописана. Тиме би се избегли могући спорови око надлежности и друга спорна питања у вези са овим поступком</w:t>
      </w:r>
      <w:r w:rsidR="008850D6" w:rsidRPr="006E4BB9">
        <w:t xml:space="preserve">. </w:t>
      </w:r>
    </w:p>
    <w:p w14:paraId="629F3BA0" w14:textId="77777777" w:rsidR="00904ABF" w:rsidRPr="006E4BB9" w:rsidRDefault="008850D6" w:rsidP="00904ABF">
      <w:pPr>
        <w:spacing w:before="240" w:after="200" w:line="240" w:lineRule="auto"/>
        <w:jc w:val="both"/>
        <w:rPr>
          <w:b/>
          <w:bCs/>
        </w:rPr>
      </w:pPr>
      <w:r w:rsidRPr="006E4BB9">
        <w:t xml:space="preserve"> </w:t>
      </w:r>
      <w:r w:rsidR="00904ABF" w:rsidRPr="006E4BB9">
        <w:rPr>
          <w:b/>
          <w:bCs/>
        </w:rPr>
        <w:t xml:space="preserve">V. </w:t>
      </w:r>
      <w:r w:rsidR="00E10BB0">
        <w:rPr>
          <w:b/>
          <w:bCs/>
        </w:rPr>
        <w:t>ПРЕНОС ПОДАТАКА О ЛИЧНОСТИ У ТРЕЋЕ ЗЕМЉЕ ИЛИ МЕЂУНАРОДНЕ ОРГАНИЗАЦИЈЕ</w:t>
      </w:r>
    </w:p>
    <w:p w14:paraId="11BF4FA1" w14:textId="77777777" w:rsidR="00904ABF" w:rsidRPr="006E4BB9" w:rsidRDefault="00E10BB0" w:rsidP="00904ABF">
      <w:pPr>
        <w:spacing w:before="160"/>
        <w:jc w:val="both"/>
        <w:rPr>
          <w:b/>
          <w:bCs/>
        </w:rPr>
      </w:pPr>
      <w:r>
        <w:rPr>
          <w:b/>
          <w:bCs/>
        </w:rPr>
        <w:t>Члан</w:t>
      </w:r>
      <w:r w:rsidR="00904ABF" w:rsidRPr="006E4BB9">
        <w:rPr>
          <w:b/>
          <w:bCs/>
        </w:rPr>
        <w:t xml:space="preserve"> 64:</w:t>
      </w:r>
    </w:p>
    <w:p w14:paraId="735E998B" w14:textId="77777777" w:rsidR="00904ABF" w:rsidRPr="006E4BB9" w:rsidRDefault="00E10BB0" w:rsidP="00904ABF">
      <w:pPr>
        <w:jc w:val="both"/>
      </w:pPr>
      <w:r>
        <w:t>Израз „</w:t>
      </w:r>
      <w:r w:rsidR="0071686C">
        <w:t>примерени</w:t>
      </w:r>
      <w:r>
        <w:t xml:space="preserve"> ниво заштитних мера“ из </w:t>
      </w:r>
      <w:r w:rsidR="0071686C">
        <w:t xml:space="preserve">наслова може бити узрок забуне збор чињенице да се у члану </w:t>
      </w:r>
      <w:r w:rsidR="00904ABF" w:rsidRPr="006E4BB9">
        <w:t>65</w:t>
      </w:r>
      <w:r w:rsidR="0071686C">
        <w:t xml:space="preserve">. Закона користи израз „одговарајуће мере заштите“. Примеренији израз, мада исти као и у </w:t>
      </w:r>
      <w:r w:rsidR="00CA510A" w:rsidRPr="006E4BB9">
        <w:rPr>
          <w:i/>
        </w:rPr>
        <w:t>GDPR</w:t>
      </w:r>
      <w:r w:rsidR="00904ABF" w:rsidRPr="006E4BB9">
        <w:t xml:space="preserve">, </w:t>
      </w:r>
      <w:r w:rsidR="0071686C">
        <w:t>би био „адекватан ниво заштите“</w:t>
      </w:r>
      <w:r w:rsidR="00904ABF" w:rsidRPr="006E4BB9">
        <w:t xml:space="preserve">. </w:t>
      </w:r>
      <w:r w:rsidR="0071686C">
        <w:t xml:space="preserve">На другим местима у члану </w:t>
      </w:r>
      <w:r w:rsidR="00904ABF" w:rsidRPr="006E4BB9">
        <w:t>64</w:t>
      </w:r>
      <w:r w:rsidR="0071686C">
        <w:t>.</w:t>
      </w:r>
      <w:r w:rsidR="00904ABF" w:rsidRPr="006E4BB9">
        <w:t xml:space="preserve"> </w:t>
      </w:r>
      <w:r w:rsidR="0071686C">
        <w:t>се</w:t>
      </w:r>
      <w:r w:rsidR="00904ABF" w:rsidRPr="006E4BB9">
        <w:t xml:space="preserve"> </w:t>
      </w:r>
      <w:r w:rsidR="0071686C">
        <w:t xml:space="preserve">такође користи израз „адекватан ниво заштите“. Наша је </w:t>
      </w:r>
      <w:r w:rsidR="002B19FC">
        <w:t>предлог</w:t>
      </w:r>
      <w:r w:rsidR="0071686C">
        <w:t xml:space="preserve"> да се код коришћења терминологије примени кохерентнији приступ, пошто изрази „одговарајуће заштитне мере“ и „адекв</w:t>
      </w:r>
      <w:r w:rsidR="002B19FC">
        <w:t>а</w:t>
      </w:r>
      <w:r w:rsidR="0071686C">
        <w:t xml:space="preserve">тан ниво заштите“ имају различита значења. </w:t>
      </w:r>
    </w:p>
    <w:p w14:paraId="0F356355" w14:textId="77777777" w:rsidR="00904ABF" w:rsidRPr="006E4BB9" w:rsidRDefault="0071686C" w:rsidP="00904ABF">
      <w:pPr>
        <w:jc w:val="both"/>
      </w:pPr>
      <w:r>
        <w:t xml:space="preserve">Према члану </w:t>
      </w:r>
      <w:r w:rsidR="00904ABF" w:rsidRPr="006E4BB9">
        <w:t>45</w:t>
      </w:r>
      <w:r>
        <w:t xml:space="preserve">. став </w:t>
      </w:r>
      <w:r w:rsidR="00904ABF" w:rsidRPr="006E4BB9">
        <w:t xml:space="preserve">(3) </w:t>
      </w:r>
      <w:r w:rsidR="00CA510A" w:rsidRPr="006E4BB9">
        <w:rPr>
          <w:i/>
        </w:rPr>
        <w:t>GDPR</w:t>
      </w:r>
      <w:r>
        <w:rPr>
          <w:i/>
        </w:rPr>
        <w:t>,</w:t>
      </w:r>
      <w:r>
        <w:t xml:space="preserve"> Комисија мора усвојити спроведбени акт како би изврш</w:t>
      </w:r>
      <w:r w:rsidR="002B19FC">
        <w:t>и</w:t>
      </w:r>
      <w:r>
        <w:t>ла процену</w:t>
      </w:r>
      <w:r w:rsidR="00BB7A28">
        <w:t xml:space="preserve"> да нека трећа земља или међународна организација располаж</w:t>
      </w:r>
      <w:r w:rsidR="002B19FC">
        <w:t>е</w:t>
      </w:r>
      <w:r w:rsidR="00BB7A28">
        <w:t xml:space="preserve"> адекватним нивоом заштите </w:t>
      </w:r>
      <w:r w:rsidR="00904ABF" w:rsidRPr="006E4BB9">
        <w:t>(</w:t>
      </w:r>
      <w:r w:rsidR="00BB7A28">
        <w:t>одлука о адекватности</w:t>
      </w:r>
      <w:r w:rsidR="00904ABF" w:rsidRPr="006E4BB9">
        <w:t xml:space="preserve">). </w:t>
      </w:r>
      <w:r w:rsidR="00BB7A28">
        <w:t xml:space="preserve">Таквим спроведбеним актом се осим тога мора прописати механизам за </w:t>
      </w:r>
      <w:r w:rsidR="00972730">
        <w:t>спровођење периодичних</w:t>
      </w:r>
      <w:r w:rsidR="00BB7A28">
        <w:t xml:space="preserve"> пре</w:t>
      </w:r>
      <w:r w:rsidR="00972730">
        <w:t>испитивања</w:t>
      </w:r>
      <w:r w:rsidR="00BB7A28">
        <w:t>, најмање сваке четири године, којима се узимају у обзир св</w:t>
      </w:r>
      <w:r w:rsidR="00972730">
        <w:t>и</w:t>
      </w:r>
      <w:r w:rsidR="00BB7A28">
        <w:t xml:space="preserve"> релевантн</w:t>
      </w:r>
      <w:r w:rsidR="00972730">
        <w:t>и развоји догађаја</w:t>
      </w:r>
      <w:r w:rsidR="00BB7A28">
        <w:t xml:space="preserve"> у тој трећој земљи или међународној организацији</w:t>
      </w:r>
      <w:r w:rsidR="00904ABF" w:rsidRPr="006E4BB9">
        <w:t xml:space="preserve">. </w:t>
      </w:r>
      <w:r w:rsidR="00BB7A28">
        <w:t xml:space="preserve">Захтев из члана </w:t>
      </w:r>
      <w:r w:rsidR="00904ABF" w:rsidRPr="006E4BB9">
        <w:t>45</w:t>
      </w:r>
      <w:r w:rsidR="00BB7A28">
        <w:t xml:space="preserve">. став </w:t>
      </w:r>
      <w:r w:rsidR="00904ABF" w:rsidRPr="006E4BB9">
        <w:t xml:space="preserve">(3) </w:t>
      </w:r>
      <w:r w:rsidR="00CA510A" w:rsidRPr="006E4BB9">
        <w:rPr>
          <w:i/>
        </w:rPr>
        <w:t>GDPR</w:t>
      </w:r>
      <w:r w:rsidR="00904ABF" w:rsidRPr="006E4BB9">
        <w:t xml:space="preserve"> (</w:t>
      </w:r>
      <w:r w:rsidR="00BB7A28">
        <w:t>за механизам за периодичн</w:t>
      </w:r>
      <w:r w:rsidR="00972730">
        <w:t>о</w:t>
      </w:r>
      <w:r w:rsidR="00BB7A28">
        <w:t xml:space="preserve"> пре</w:t>
      </w:r>
      <w:r w:rsidR="00972730">
        <w:t>испитивање</w:t>
      </w:r>
      <w:r w:rsidR="00BB7A28">
        <w:t xml:space="preserve"> који мора бити прописан неким спроведбеним актом</w:t>
      </w:r>
      <w:r w:rsidR="00904ABF" w:rsidRPr="006E4BB9">
        <w:t>)</w:t>
      </w:r>
      <w:r w:rsidR="00BB7A28">
        <w:t xml:space="preserve"> није на одговарајући начин поштован у решењу из Закона. </w:t>
      </w:r>
      <w:r w:rsidR="00C93E95">
        <w:t xml:space="preserve">Став </w:t>
      </w:r>
      <w:r w:rsidR="00904ABF" w:rsidRPr="006E4BB9">
        <w:t>4</w:t>
      </w:r>
      <w:r w:rsidR="00C93E95">
        <w:t>. члана</w:t>
      </w:r>
      <w:r w:rsidR="00904ABF" w:rsidRPr="006E4BB9">
        <w:t xml:space="preserve"> 64</w:t>
      </w:r>
      <w:r w:rsidR="00C93E95">
        <w:t>. Закона прописује могућност да Република Србија усвоји међународне споразуме према којима би били дозвољени преноси података у треће земље</w:t>
      </w:r>
      <w:r w:rsidR="00904ABF" w:rsidRPr="006E4BB9">
        <w:t xml:space="preserve">. </w:t>
      </w:r>
      <w:r w:rsidR="00C93E95">
        <w:t xml:space="preserve">У ставу </w:t>
      </w:r>
      <w:r w:rsidR="00904ABF" w:rsidRPr="006E4BB9">
        <w:t>5</w:t>
      </w:r>
      <w:r w:rsidR="00C93E95">
        <w:t>. члана</w:t>
      </w:r>
      <w:r w:rsidR="00904ABF" w:rsidRPr="006E4BB9">
        <w:t xml:space="preserve"> 64</w:t>
      </w:r>
      <w:r w:rsidR="00C93E95">
        <w:t>.</w:t>
      </w:r>
      <w:r w:rsidR="00904ABF" w:rsidRPr="006E4BB9">
        <w:t xml:space="preserve"> </w:t>
      </w:r>
      <w:r w:rsidR="00C93E95">
        <w:t>је</w:t>
      </w:r>
      <w:r w:rsidR="00904ABF" w:rsidRPr="006E4BB9">
        <w:t xml:space="preserve"> </w:t>
      </w:r>
      <w:r w:rsidR="00C93E95">
        <w:t xml:space="preserve">предвиђено да се </w:t>
      </w:r>
      <w:r w:rsidR="00C93E95">
        <w:rPr>
          <w:i/>
        </w:rPr>
        <w:t xml:space="preserve">у процесу потврђивања међународног споразума о преносу података о личности, посебно утврђује </w:t>
      </w:r>
      <w:r w:rsidR="00C93E95">
        <w:rPr>
          <w:i/>
          <w:u w:val="single"/>
        </w:rPr>
        <w:t xml:space="preserve">испуњење услова на које се упућује у ставу </w:t>
      </w:r>
      <w:r w:rsidR="00904ABF" w:rsidRPr="006E4BB9">
        <w:rPr>
          <w:i/>
          <w:u w:val="single"/>
        </w:rPr>
        <w:t>3</w:t>
      </w:r>
      <w:r w:rsidR="00C93E95">
        <w:rPr>
          <w:i/>
          <w:u w:val="single"/>
        </w:rPr>
        <w:t>.</w:t>
      </w:r>
      <w:r w:rsidR="00C93E95">
        <w:rPr>
          <w:i/>
        </w:rPr>
        <w:t xml:space="preserve"> овог</w:t>
      </w:r>
      <w:r w:rsidR="00904ABF" w:rsidRPr="006E4BB9">
        <w:rPr>
          <w:i/>
        </w:rPr>
        <w:t xml:space="preserve"> </w:t>
      </w:r>
      <w:r w:rsidR="00C93E95">
        <w:rPr>
          <w:i/>
        </w:rPr>
        <w:t>члана</w:t>
      </w:r>
      <w:r w:rsidR="00904ABF" w:rsidRPr="006E4BB9">
        <w:rPr>
          <w:i/>
        </w:rPr>
        <w:t>.</w:t>
      </w:r>
      <w:r w:rsidR="00904ABF" w:rsidRPr="006E4BB9">
        <w:t xml:space="preserve"> </w:t>
      </w:r>
      <w:r w:rsidR="00C93E95">
        <w:t xml:space="preserve">Наведени услови из става </w:t>
      </w:r>
      <w:r w:rsidR="00904ABF" w:rsidRPr="006E4BB9">
        <w:t>3</w:t>
      </w:r>
      <w:r w:rsidR="00C93E95">
        <w:t>.</w:t>
      </w:r>
      <w:r w:rsidR="00904ABF" w:rsidRPr="006E4BB9">
        <w:t xml:space="preserve"> </w:t>
      </w:r>
      <w:r w:rsidR="00C93E95">
        <w:t>се</w:t>
      </w:r>
      <w:r w:rsidR="00904ABF" w:rsidRPr="006E4BB9">
        <w:t xml:space="preserve"> </w:t>
      </w:r>
      <w:r w:rsidR="00C93E95">
        <w:t xml:space="preserve">односе само на услове за признавање да нека трећа земља или међународна организација располажу адекватним нивоом заштите. Њиме се са друге стране не захтева да међународним споразумом буде прописан нити договорен </w:t>
      </w:r>
      <w:r w:rsidR="00972730">
        <w:t>било какав</w:t>
      </w:r>
      <w:r w:rsidR="00C93E95">
        <w:t xml:space="preserve"> механизам за периодичн</w:t>
      </w:r>
      <w:r w:rsidR="00972730">
        <w:t>о</w:t>
      </w:r>
      <w:r w:rsidR="00C93E95">
        <w:t xml:space="preserve"> пре</w:t>
      </w:r>
      <w:r w:rsidR="00972730">
        <w:t>испитивање</w:t>
      </w:r>
      <w:r w:rsidR="00C93E95">
        <w:t xml:space="preserve"> из става </w:t>
      </w:r>
      <w:r w:rsidR="00904ABF" w:rsidRPr="006E4BB9">
        <w:t>6</w:t>
      </w:r>
      <w:r w:rsidR="00C93E95">
        <w:t>.</w:t>
      </w:r>
      <w:r w:rsidR="00904ABF" w:rsidRPr="006E4BB9">
        <w:t xml:space="preserve"> </w:t>
      </w:r>
      <w:r w:rsidR="00C93E95">
        <w:t>члана</w:t>
      </w:r>
      <w:r w:rsidR="00904ABF" w:rsidRPr="006E4BB9">
        <w:t xml:space="preserve"> 64</w:t>
      </w:r>
      <w:r w:rsidR="00C93E95">
        <w:t xml:space="preserve">. </w:t>
      </w:r>
      <w:r w:rsidR="00904ABF" w:rsidRPr="006E4BB9">
        <w:t>(</w:t>
      </w:r>
      <w:r w:rsidR="00C93E95">
        <w:rPr>
          <w:i/>
        </w:rPr>
        <w:t>влада</w:t>
      </w:r>
      <w:r w:rsidR="00904ABF" w:rsidRPr="006E4BB9">
        <w:rPr>
          <w:i/>
        </w:rPr>
        <w:t xml:space="preserve"> </w:t>
      </w:r>
      <w:r w:rsidR="001C5990">
        <w:rPr>
          <w:i/>
        </w:rPr>
        <w:t xml:space="preserve">континуирано прати стање у вези са заштитом података о личности у трећој земљи, на деловима њене територије, областима активности или у међународној организацији, на основу информација које се прикупљају директно и узимајући у обзир информације прикупљене од </w:t>
      </w:r>
      <w:r w:rsidR="00972730">
        <w:rPr>
          <w:i/>
        </w:rPr>
        <w:t>с</w:t>
      </w:r>
      <w:r w:rsidR="001C5990">
        <w:rPr>
          <w:i/>
        </w:rPr>
        <w:t>тране међународних организација, које су важне за преиспи</w:t>
      </w:r>
      <w:r w:rsidR="002B19FC">
        <w:rPr>
          <w:i/>
        </w:rPr>
        <w:t>тивање постојања адекватног нив</w:t>
      </w:r>
      <w:r w:rsidR="001C5990">
        <w:rPr>
          <w:i/>
        </w:rPr>
        <w:t>о</w:t>
      </w:r>
      <w:r w:rsidR="002B19FC">
        <w:rPr>
          <w:i/>
        </w:rPr>
        <w:t>а</w:t>
      </w:r>
      <w:r w:rsidR="001C5990">
        <w:rPr>
          <w:i/>
        </w:rPr>
        <w:t xml:space="preserve"> заштите</w:t>
      </w:r>
      <w:r w:rsidR="00904ABF" w:rsidRPr="006E4BB9">
        <w:t xml:space="preserve">). </w:t>
      </w:r>
      <w:r w:rsidR="00972730">
        <w:t xml:space="preserve">Захтев за фактор повезивања са овим посебним захтевом из става </w:t>
      </w:r>
      <w:r w:rsidR="00904ABF" w:rsidRPr="006E4BB9">
        <w:t>6</w:t>
      </w:r>
      <w:r w:rsidR="009F1A7B">
        <w:t>.</w:t>
      </w:r>
      <w:r w:rsidR="00904ABF" w:rsidRPr="006E4BB9">
        <w:t xml:space="preserve"> </w:t>
      </w:r>
      <w:r w:rsidR="009F1A7B">
        <w:t>није</w:t>
      </w:r>
      <w:r w:rsidR="00904ABF" w:rsidRPr="006E4BB9">
        <w:t xml:space="preserve"> </w:t>
      </w:r>
      <w:r w:rsidR="009F1A7B">
        <w:t xml:space="preserve">захтева овим Законом. Наше је мишљење да је то важно за усаглашавање са правним тековинама ЕУ. Међународни споразуми које ће Србија закључити са другим земљама су правно обавезујуће обавезе које ће утицати на лица на која се подаци однос, па стога сваким међународним споразумом који је прихваћен од стране Србије треба узети у обзир механизам </w:t>
      </w:r>
      <w:r w:rsidR="009F1A7B">
        <w:lastRenderedPageBreak/>
        <w:t>за периодично преиспитивање како би се по овом питању остварила пуна усаглашеност са правним тековинама ЕУ</w:t>
      </w:r>
      <w:r w:rsidR="00904ABF" w:rsidRPr="006E4BB9">
        <w:t>.</w:t>
      </w:r>
    </w:p>
    <w:p w14:paraId="0E3074D8" w14:textId="77777777" w:rsidR="00904ABF" w:rsidRPr="006E4BB9" w:rsidRDefault="009F1A7B" w:rsidP="00904ABF">
      <w:pPr>
        <w:spacing w:before="160"/>
        <w:jc w:val="both"/>
        <w:rPr>
          <w:b/>
          <w:bCs/>
        </w:rPr>
      </w:pPr>
      <w:r>
        <w:rPr>
          <w:b/>
          <w:bCs/>
        </w:rPr>
        <w:t>Члан</w:t>
      </w:r>
      <w:r w:rsidR="00904ABF" w:rsidRPr="006E4BB9">
        <w:rPr>
          <w:b/>
          <w:bCs/>
        </w:rPr>
        <w:t xml:space="preserve"> 65:</w:t>
      </w:r>
    </w:p>
    <w:p w14:paraId="73FF4873" w14:textId="77777777" w:rsidR="00904ABF" w:rsidRPr="006E4BB9" w:rsidRDefault="009F1A7B" w:rsidP="00904ABF">
      <w:pPr>
        <w:jc w:val="both"/>
        <w:rPr>
          <w:u w:val="single"/>
        </w:rPr>
      </w:pPr>
      <w:r>
        <w:t xml:space="preserve">Према ставу </w:t>
      </w:r>
      <w:r w:rsidR="00904ABF" w:rsidRPr="006E4BB9">
        <w:t xml:space="preserve">1, </w:t>
      </w:r>
      <w:r>
        <w:t xml:space="preserve">преноси података о личности су могући у земље које </w:t>
      </w:r>
      <w:r>
        <w:rPr>
          <w:i/>
        </w:rPr>
        <w:t xml:space="preserve">нису </w:t>
      </w:r>
      <w:r>
        <w:t xml:space="preserve">на списку из члана </w:t>
      </w:r>
      <w:r w:rsidR="00904ABF" w:rsidRPr="006E4BB9">
        <w:t>64</w:t>
      </w:r>
      <w:r>
        <w:t>.</w:t>
      </w:r>
      <w:r w:rsidR="00904ABF" w:rsidRPr="006E4BB9">
        <w:t xml:space="preserve"> </w:t>
      </w:r>
      <w:r>
        <w:t>став</w:t>
      </w:r>
      <w:r w:rsidR="00904ABF" w:rsidRPr="006E4BB9">
        <w:t xml:space="preserve"> 7. </w:t>
      </w:r>
      <w:r>
        <w:t>У члану</w:t>
      </w:r>
      <w:r w:rsidR="00904ABF" w:rsidRPr="006E4BB9">
        <w:t xml:space="preserve"> 64</w:t>
      </w:r>
      <w:r>
        <w:t>.</w:t>
      </w:r>
      <w:r w:rsidR="00904ABF" w:rsidRPr="006E4BB9">
        <w:t xml:space="preserve"> </w:t>
      </w:r>
      <w:r>
        <w:t>став</w:t>
      </w:r>
      <w:r w:rsidR="00904ABF" w:rsidRPr="006E4BB9">
        <w:t xml:space="preserve"> 7</w:t>
      </w:r>
      <w:r>
        <w:t>.</w:t>
      </w:r>
      <w:r w:rsidR="00904ABF" w:rsidRPr="006E4BB9">
        <w:t xml:space="preserve"> </w:t>
      </w:r>
      <w:r>
        <w:t>постоје</w:t>
      </w:r>
      <w:r w:rsidR="00904ABF" w:rsidRPr="006E4BB9">
        <w:t xml:space="preserve"> </w:t>
      </w:r>
      <w:r>
        <w:t>два списка, укључујући списак земаља које</w:t>
      </w:r>
      <w:r w:rsidR="00233667">
        <w:t xml:space="preserve"> (више)</w:t>
      </w:r>
      <w:r>
        <w:t xml:space="preserve"> </w:t>
      </w:r>
      <w:r>
        <w:rPr>
          <w:i/>
        </w:rPr>
        <w:t xml:space="preserve">не </w:t>
      </w:r>
      <w:r w:rsidRPr="009F1A7B">
        <w:t>обезбеђују</w:t>
      </w:r>
      <w:r w:rsidR="00904ABF" w:rsidRPr="006E4BB9">
        <w:t xml:space="preserve"> </w:t>
      </w:r>
      <w:r w:rsidR="00233667">
        <w:t>адекватан ниво заштите</w:t>
      </w:r>
      <w:r w:rsidR="00904ABF" w:rsidRPr="006E4BB9">
        <w:t xml:space="preserve">. </w:t>
      </w:r>
      <w:r w:rsidR="00233667">
        <w:t>У одредби из става 1. члана</w:t>
      </w:r>
      <w:r w:rsidR="00904ABF" w:rsidRPr="006E4BB9">
        <w:t xml:space="preserve"> 65</w:t>
      </w:r>
      <w:r w:rsidR="00233667">
        <w:t>.</w:t>
      </w:r>
      <w:r w:rsidR="00904ABF" w:rsidRPr="006E4BB9">
        <w:t xml:space="preserve"> </w:t>
      </w:r>
      <w:r w:rsidR="00233667">
        <w:t>се</w:t>
      </w:r>
      <w:r w:rsidR="00904ABF" w:rsidRPr="006E4BB9">
        <w:t xml:space="preserve"> </w:t>
      </w:r>
      <w:r w:rsidR="00233667">
        <w:t>не наводи јасно на који се то списак односи</w:t>
      </w:r>
      <w:r w:rsidR="00904ABF" w:rsidRPr="006E4BB9">
        <w:t xml:space="preserve">. </w:t>
      </w:r>
      <w:r w:rsidR="00233667">
        <w:t xml:space="preserve">Ако се забрана из члана 65. став 1. не би односила на списак земаља које </w:t>
      </w:r>
      <w:r w:rsidR="00233667" w:rsidRPr="00233667">
        <w:rPr>
          <w:i/>
        </w:rPr>
        <w:t>не</w:t>
      </w:r>
      <w:r w:rsidR="00233667">
        <w:t xml:space="preserve"> обезбеђују адекватан ниво заштите, то би било у супротности са сврхом ове одредбе </w:t>
      </w:r>
      <w:r w:rsidR="00904ABF" w:rsidRPr="006E4BB9">
        <w:t xml:space="preserve">– </w:t>
      </w:r>
      <w:r w:rsidR="00233667">
        <w:t>па стога преноси података о личности у те земље не би били могући</w:t>
      </w:r>
      <w:r w:rsidR="00904ABF" w:rsidRPr="006E4BB9">
        <w:t xml:space="preserve"> (</w:t>
      </w:r>
      <w:r w:rsidR="00233667">
        <w:t>не само на основу адекватног нивоа заштите, већ би и према ставу 1. члана 65. исто</w:t>
      </w:r>
      <w:r w:rsidR="00904ABF" w:rsidRPr="006E4BB9">
        <w:t xml:space="preserve"> </w:t>
      </w:r>
      <w:r w:rsidR="00233667">
        <w:t xml:space="preserve">тако не би било могуће вршити преносе података о личности на основу одговарајућих заштитних мера). Такво би тумачење било у супротности са сврхом једне сличне одредбе у </w:t>
      </w:r>
      <w:r w:rsidR="00CA510A" w:rsidRPr="006E4BB9">
        <w:rPr>
          <w:i/>
        </w:rPr>
        <w:t>GDPR</w:t>
      </w:r>
      <w:r w:rsidR="00904ABF" w:rsidRPr="006E4BB9">
        <w:t xml:space="preserve"> (</w:t>
      </w:r>
      <w:r w:rsidR="00233667">
        <w:t xml:space="preserve">члан </w:t>
      </w:r>
      <w:r w:rsidR="00904ABF" w:rsidRPr="006E4BB9">
        <w:t>46</w:t>
      </w:r>
      <w:r w:rsidR="00233667">
        <w:t xml:space="preserve">. став </w:t>
      </w:r>
      <w:r w:rsidR="00904ABF" w:rsidRPr="006E4BB9">
        <w:t xml:space="preserve">(1)), </w:t>
      </w:r>
      <w:r w:rsidR="004A6351">
        <w:t xml:space="preserve">чија је намера да </w:t>
      </w:r>
      <w:r w:rsidR="00D9516F">
        <w:t>руковаоци</w:t>
      </w:r>
      <w:r w:rsidR="004A6351">
        <w:t xml:space="preserve"> не треба да траже примерене заштитне мере када врше преносе података о личности у неку земљу која већ располаже адекватним нивоом заштите</w:t>
      </w:r>
      <w:r w:rsidR="00904ABF" w:rsidRPr="006E4BB9">
        <w:t xml:space="preserve">. </w:t>
      </w:r>
      <w:r w:rsidR="004A6351">
        <w:rPr>
          <w:u w:val="single"/>
        </w:rPr>
        <w:t xml:space="preserve">Као закључак, у члану </w:t>
      </w:r>
      <w:r w:rsidR="00904ABF" w:rsidRPr="006E4BB9">
        <w:rPr>
          <w:u w:val="single"/>
        </w:rPr>
        <w:t>65</w:t>
      </w:r>
      <w:r w:rsidR="004A6351">
        <w:rPr>
          <w:u w:val="single"/>
        </w:rPr>
        <w:t>.</w:t>
      </w:r>
      <w:r w:rsidR="00904ABF" w:rsidRPr="006E4BB9">
        <w:rPr>
          <w:u w:val="single"/>
        </w:rPr>
        <w:t xml:space="preserve"> </w:t>
      </w:r>
      <w:r w:rsidR="004A6351">
        <w:rPr>
          <w:u w:val="single"/>
        </w:rPr>
        <w:t>став 1. Закона се не указује јасно на списак земаља које ПРУЖАЈУ адекватан ниво заштите</w:t>
      </w:r>
      <w:r w:rsidR="00904ABF" w:rsidRPr="006E4BB9">
        <w:rPr>
          <w:u w:val="single"/>
        </w:rPr>
        <w:t xml:space="preserve"> – </w:t>
      </w:r>
      <w:r w:rsidR="004A6351">
        <w:rPr>
          <w:u w:val="single"/>
        </w:rPr>
        <w:t>што у пракси може изазвати забуну и погрешна тумачења</w:t>
      </w:r>
      <w:r w:rsidR="00904ABF" w:rsidRPr="006E4BB9">
        <w:rPr>
          <w:u w:val="single"/>
        </w:rPr>
        <w:t>.</w:t>
      </w:r>
    </w:p>
    <w:p w14:paraId="238B56A5" w14:textId="77777777" w:rsidR="00904ABF" w:rsidRPr="006E4BB9" w:rsidRDefault="004A6351" w:rsidP="00904ABF">
      <w:pPr>
        <w:spacing w:before="160"/>
        <w:jc w:val="both"/>
        <w:rPr>
          <w:bCs/>
        </w:rPr>
      </w:pPr>
      <w:r>
        <w:rPr>
          <w:bCs/>
        </w:rPr>
        <w:t xml:space="preserve">У ставу </w:t>
      </w:r>
      <w:r w:rsidR="00904ABF" w:rsidRPr="006E4BB9">
        <w:rPr>
          <w:bCs/>
        </w:rPr>
        <w:t>2</w:t>
      </w:r>
      <w:r>
        <w:rPr>
          <w:bCs/>
        </w:rPr>
        <w:t>.</w:t>
      </w:r>
      <w:r w:rsidR="00904ABF" w:rsidRPr="006E4BB9">
        <w:rPr>
          <w:bCs/>
        </w:rPr>
        <w:t xml:space="preserve"> </w:t>
      </w:r>
      <w:r>
        <w:rPr>
          <w:bCs/>
        </w:rPr>
        <w:t xml:space="preserve">ставка </w:t>
      </w:r>
      <w:r w:rsidR="00904ABF" w:rsidRPr="006E4BB9">
        <w:rPr>
          <w:bCs/>
        </w:rPr>
        <w:t xml:space="preserve">2) </w:t>
      </w:r>
      <w:r>
        <w:rPr>
          <w:bCs/>
        </w:rPr>
        <w:t>се предвиђа да стандардне уговорне клаузуле</w:t>
      </w:r>
      <w:r w:rsidR="00904ABF" w:rsidRPr="006E4BB9">
        <w:rPr>
          <w:bCs/>
        </w:rPr>
        <w:t xml:space="preserve"> (</w:t>
      </w:r>
      <w:r>
        <w:rPr>
          <w:bCs/>
        </w:rPr>
        <w:t>СУК</w:t>
      </w:r>
      <w:r w:rsidR="00904ABF" w:rsidRPr="006E4BB9">
        <w:rPr>
          <w:bCs/>
        </w:rPr>
        <w:t>)</w:t>
      </w:r>
      <w:r>
        <w:rPr>
          <w:bCs/>
        </w:rPr>
        <w:t xml:space="preserve"> могу представљати правну основу за преносе података. Могућност да се користе стандардне уговорне клаузуле у складу са </w:t>
      </w:r>
      <w:r w:rsidR="00CA510A" w:rsidRPr="006E4BB9">
        <w:rPr>
          <w:bCs/>
          <w:i/>
        </w:rPr>
        <w:t>GDPR</w:t>
      </w:r>
      <w:r w:rsidR="00904ABF" w:rsidRPr="006E4BB9">
        <w:rPr>
          <w:bCs/>
        </w:rPr>
        <w:t xml:space="preserve"> </w:t>
      </w:r>
      <w:r w:rsidR="00A91453">
        <w:rPr>
          <w:bCs/>
        </w:rPr>
        <w:t xml:space="preserve">олакшава преносе података. У границама тренутног решења, лако се може догодити да ће се преносима података из ЕУ у Србију и даљим преносима у треће земље који зависе искључиво од стандардних уговорних клаузула усвојених од стране Комисије ЕУ кршити овај Закон. Као резултат тога, мултинационалне компаније са седиштем у ЕУ ће бити мање подстакнуте да послују у Србији због додатних административних препрека у погледу преноса података о личности, што није циљ </w:t>
      </w:r>
      <w:r w:rsidR="00CA510A" w:rsidRPr="006E4BB9">
        <w:rPr>
          <w:bCs/>
          <w:i/>
        </w:rPr>
        <w:t>GDPR</w:t>
      </w:r>
      <w:r w:rsidR="00904ABF" w:rsidRPr="006E4BB9">
        <w:rPr>
          <w:bCs/>
        </w:rPr>
        <w:t xml:space="preserve">. </w:t>
      </w:r>
      <w:r w:rsidR="00A91453">
        <w:rPr>
          <w:bCs/>
        </w:rPr>
        <w:t>Треба размотрити могућност да се овај члан измени</w:t>
      </w:r>
      <w:r w:rsidR="00904ABF" w:rsidRPr="006E4BB9">
        <w:rPr>
          <w:bCs/>
        </w:rPr>
        <w:t>.</w:t>
      </w:r>
    </w:p>
    <w:p w14:paraId="3387BCF4" w14:textId="77777777" w:rsidR="00904ABF" w:rsidRPr="006E4BB9" w:rsidRDefault="00A91453" w:rsidP="00904ABF">
      <w:pPr>
        <w:spacing w:before="160"/>
        <w:jc w:val="both"/>
        <w:rPr>
          <w:bCs/>
        </w:rPr>
      </w:pPr>
      <w:r>
        <w:rPr>
          <w:bCs/>
        </w:rPr>
        <w:t xml:space="preserve">У ставу </w:t>
      </w:r>
      <w:r w:rsidR="00904ABF" w:rsidRPr="006E4BB9">
        <w:rPr>
          <w:bCs/>
        </w:rPr>
        <w:t>2</w:t>
      </w:r>
      <w:r>
        <w:rPr>
          <w:bCs/>
        </w:rPr>
        <w:t>.</w:t>
      </w:r>
      <w:r w:rsidR="00904ABF" w:rsidRPr="006E4BB9">
        <w:rPr>
          <w:bCs/>
        </w:rPr>
        <w:t xml:space="preserve"> </w:t>
      </w:r>
      <w:r>
        <w:rPr>
          <w:bCs/>
        </w:rPr>
        <w:t>ставка</w:t>
      </w:r>
      <w:r w:rsidR="00904ABF" w:rsidRPr="006E4BB9">
        <w:rPr>
          <w:bCs/>
        </w:rPr>
        <w:t xml:space="preserve"> 2) </w:t>
      </w:r>
      <w:r>
        <w:rPr>
          <w:bCs/>
        </w:rPr>
        <w:t xml:space="preserve">се осим тога предвиђа да стандардне уговорне клаузуле могу бити правна основа само за обраду између </w:t>
      </w:r>
      <w:r w:rsidR="00D9516F">
        <w:rPr>
          <w:bCs/>
        </w:rPr>
        <w:t>руковаоца</w:t>
      </w:r>
      <w:r>
        <w:rPr>
          <w:bCs/>
        </w:rPr>
        <w:t xml:space="preserve"> у Србији и </w:t>
      </w:r>
      <w:r w:rsidR="003F57D1">
        <w:rPr>
          <w:bCs/>
        </w:rPr>
        <w:t>обрађивача</w:t>
      </w:r>
      <w:r>
        <w:rPr>
          <w:bCs/>
        </w:rPr>
        <w:t xml:space="preserve"> у некој трећој земљи. Постоје два модела стандардних уговорних клаузула </w:t>
      </w:r>
      <w:r w:rsidR="009A1DA2">
        <w:rPr>
          <w:bCs/>
        </w:rPr>
        <w:t xml:space="preserve">које је усвојила Комисија ЕУ и који су тренутно доступни – први за преносе података између </w:t>
      </w:r>
      <w:r w:rsidR="003F57D1">
        <w:rPr>
          <w:bCs/>
        </w:rPr>
        <w:t>рук</w:t>
      </w:r>
      <w:r w:rsidR="009A1DA2">
        <w:rPr>
          <w:bCs/>
        </w:rPr>
        <w:t>оваоца</w:t>
      </w:r>
      <w:r w:rsidR="003F57D1">
        <w:rPr>
          <w:bCs/>
        </w:rPr>
        <w:t xml:space="preserve"> и обрађивача</w:t>
      </w:r>
      <w:r w:rsidR="00904ABF" w:rsidRPr="006E4BB9">
        <w:rPr>
          <w:bCs/>
          <w:vertAlign w:val="superscript"/>
        </w:rPr>
        <w:footnoteReference w:id="4"/>
      </w:r>
      <w:r w:rsidR="009A1DA2">
        <w:rPr>
          <w:bCs/>
        </w:rPr>
        <w:t xml:space="preserve"> и други за преносе података између </w:t>
      </w:r>
      <w:r w:rsidR="003F57D1">
        <w:rPr>
          <w:bCs/>
        </w:rPr>
        <w:t>руковаоца</w:t>
      </w:r>
      <w:r w:rsidR="009A1DA2">
        <w:rPr>
          <w:bCs/>
        </w:rPr>
        <w:t xml:space="preserve"> и неког другог </w:t>
      </w:r>
      <w:r w:rsidR="003F57D1">
        <w:rPr>
          <w:bCs/>
        </w:rPr>
        <w:t>руковаоца</w:t>
      </w:r>
      <w:r w:rsidR="00904ABF" w:rsidRPr="006E4BB9">
        <w:rPr>
          <w:bCs/>
          <w:vertAlign w:val="superscript"/>
        </w:rPr>
        <w:footnoteReference w:id="5"/>
      </w:r>
      <w:r w:rsidR="00904ABF" w:rsidRPr="006E4BB9">
        <w:rPr>
          <w:bCs/>
        </w:rPr>
        <w:t xml:space="preserve">. </w:t>
      </w:r>
      <w:r w:rsidR="009A1DA2">
        <w:rPr>
          <w:bCs/>
        </w:rPr>
        <w:t xml:space="preserve">У случају преноса података о личности између сва </w:t>
      </w:r>
      <w:r w:rsidR="003F57D1">
        <w:rPr>
          <w:bCs/>
        </w:rPr>
        <w:t>руковаоца</w:t>
      </w:r>
      <w:r w:rsidR="009A1DA2">
        <w:rPr>
          <w:bCs/>
        </w:rPr>
        <w:t>, механизам који је представљен у Закону не обезбеђује законите трансфере засноване на таквим стандардним уговорним клаузулама</w:t>
      </w:r>
      <w:r w:rsidR="00904ABF" w:rsidRPr="006E4BB9">
        <w:rPr>
          <w:bCs/>
        </w:rPr>
        <w:t xml:space="preserve">. </w:t>
      </w:r>
      <w:r w:rsidR="00F54821">
        <w:rPr>
          <w:bCs/>
        </w:rPr>
        <w:t xml:space="preserve">Осим тога, преноси података између два </w:t>
      </w:r>
      <w:r w:rsidR="003F57D1">
        <w:rPr>
          <w:bCs/>
        </w:rPr>
        <w:t>обрађивача</w:t>
      </w:r>
      <w:r w:rsidR="00F54821">
        <w:rPr>
          <w:bCs/>
        </w:rPr>
        <w:t xml:space="preserve"> су могући у пракси, али према тренутно доступним стандардним уговорним клаузулама које је усвојила Комисија </w:t>
      </w:r>
      <w:r w:rsidR="00830D3E">
        <w:rPr>
          <w:bCs/>
        </w:rPr>
        <w:t>та могућност још није пружена. Треба размотрити могуће измене овог члана</w:t>
      </w:r>
      <w:r w:rsidR="00904ABF" w:rsidRPr="006E4BB9">
        <w:rPr>
          <w:bCs/>
        </w:rPr>
        <w:t>.</w:t>
      </w:r>
    </w:p>
    <w:p w14:paraId="79689B47" w14:textId="1BD03E0B" w:rsidR="00904ABF" w:rsidRPr="006E4BB9" w:rsidRDefault="00830D3E" w:rsidP="00904ABF">
      <w:pPr>
        <w:jc w:val="both"/>
      </w:pPr>
      <w:r>
        <w:t xml:space="preserve">Услови за </w:t>
      </w:r>
      <w:r>
        <w:rPr>
          <w:i/>
        </w:rPr>
        <w:t>одговарајуће заштитне мере</w:t>
      </w:r>
      <w:r>
        <w:t xml:space="preserve"> треба детаљно да следе</w:t>
      </w:r>
      <w:r w:rsidR="00904ABF" w:rsidRPr="006E4BB9">
        <w:t xml:space="preserve"> </w:t>
      </w:r>
      <w:r w:rsidR="00CA510A" w:rsidRPr="006E4BB9">
        <w:rPr>
          <w:i/>
        </w:rPr>
        <w:t>GDPR</w:t>
      </w:r>
      <w:r w:rsidR="00904ABF" w:rsidRPr="006E4BB9">
        <w:t xml:space="preserve">. </w:t>
      </w:r>
      <w:r>
        <w:t xml:space="preserve">Постојећи текст овог Закона </w:t>
      </w:r>
      <w:r w:rsidR="00603285">
        <w:t xml:space="preserve">одступа од начина на који је </w:t>
      </w:r>
      <w:r w:rsidR="00CA510A" w:rsidRPr="006E4BB9">
        <w:rPr>
          <w:i/>
        </w:rPr>
        <w:t>GDPR</w:t>
      </w:r>
      <w:r w:rsidR="00603285">
        <w:t xml:space="preserve"> срочена и од концепата из </w:t>
      </w:r>
      <w:r w:rsidR="00603285" w:rsidRPr="006E4BB9">
        <w:rPr>
          <w:i/>
        </w:rPr>
        <w:t>GDPR</w:t>
      </w:r>
      <w:r w:rsidR="00603285">
        <w:t xml:space="preserve">, нарочито у погледу стандардних уговорних клаузула и </w:t>
      </w:r>
      <w:r w:rsidR="006048A1">
        <w:t xml:space="preserve">обавезујућих </w:t>
      </w:r>
      <w:r w:rsidR="00A4375C">
        <w:t xml:space="preserve">пословних </w:t>
      </w:r>
      <w:r w:rsidR="006048A1">
        <w:t>правила (</w:t>
      </w:r>
      <w:r w:rsidR="003F57D1">
        <w:t>видети и комен</w:t>
      </w:r>
      <w:r w:rsidR="006048A1">
        <w:t>т</w:t>
      </w:r>
      <w:r w:rsidR="003F57D1">
        <w:t>а</w:t>
      </w:r>
      <w:r w:rsidR="006048A1">
        <w:t>р на члан</w:t>
      </w:r>
      <w:r w:rsidR="00904ABF" w:rsidRPr="006E4BB9">
        <w:t xml:space="preserve"> 4).</w:t>
      </w:r>
      <w:r w:rsidR="006048A1">
        <w:t xml:space="preserve"> Наше је мишљење да се могао остварити већи ниво хармонизације. Једна од најважнијих предности које </w:t>
      </w:r>
      <w:r w:rsidR="00CA510A" w:rsidRPr="006E4BB9">
        <w:rPr>
          <w:i/>
        </w:rPr>
        <w:t>GDPR</w:t>
      </w:r>
      <w:r w:rsidR="006048A1">
        <w:t xml:space="preserve"> уводи пренос</w:t>
      </w:r>
      <w:r w:rsidR="006B2AEB">
        <w:t>ом</w:t>
      </w:r>
      <w:r w:rsidR="006048A1">
        <w:t xml:space="preserve"> података о личности на основу „одговарајућих заштитних </w:t>
      </w:r>
      <w:r w:rsidR="006048A1">
        <w:lastRenderedPageBreak/>
        <w:t>мера“ за руковаоце</w:t>
      </w:r>
      <w:r w:rsidR="00D9516F">
        <w:t xml:space="preserve"> и обрађиваче</w:t>
      </w:r>
      <w:r w:rsidR="00904ABF" w:rsidRPr="006E4BB9">
        <w:t xml:space="preserve"> (</w:t>
      </w:r>
      <w:r w:rsidR="006048A1">
        <w:t>нарочито за микро, мала и средња предузећа која желе да остваре пословну сарадњу са партнерима или клијентима у Србији и у целом свету) – је да они могу вршити пренос података о личности без додатних одобрења од стране националног надзорног органа – искључиво користећи механизме из „одговарајућих заштитних мера“</w:t>
      </w:r>
      <w:r w:rsidR="00904ABF" w:rsidRPr="006E4BB9">
        <w:t xml:space="preserve"> (</w:t>
      </w:r>
      <w:r w:rsidR="006048A1">
        <w:t>нарочито</w:t>
      </w:r>
      <w:r w:rsidR="00904ABF" w:rsidRPr="006E4BB9">
        <w:t xml:space="preserve">: </w:t>
      </w:r>
      <w:r w:rsidR="006048A1">
        <w:t>стандардне уговорне клаузуле</w:t>
      </w:r>
      <w:r w:rsidR="00904ABF" w:rsidRPr="006E4BB9">
        <w:t xml:space="preserve">; </w:t>
      </w:r>
      <w:r w:rsidR="006048A1">
        <w:t xml:space="preserve">обавезујућа </w:t>
      </w:r>
      <w:r w:rsidR="00A4375C">
        <w:t xml:space="preserve">пословна </w:t>
      </w:r>
      <w:r w:rsidR="006048A1">
        <w:t>правила</w:t>
      </w:r>
      <w:r w:rsidR="00904ABF" w:rsidRPr="006E4BB9">
        <w:t xml:space="preserve">; </w:t>
      </w:r>
      <w:r w:rsidR="006048A1">
        <w:t>кодексе поступања</w:t>
      </w:r>
      <w:r w:rsidR="00904ABF" w:rsidRPr="006E4BB9">
        <w:t xml:space="preserve">; </w:t>
      </w:r>
      <w:r w:rsidR="006048A1">
        <w:t>механизме за сертификацију)</w:t>
      </w:r>
      <w:r w:rsidR="00904ABF" w:rsidRPr="006E4BB9">
        <w:t xml:space="preserve">. </w:t>
      </w:r>
      <w:r w:rsidR="006048A1">
        <w:t xml:space="preserve">Најважнија предност усклађивања са правним тековинама ЕУ би била то што </w:t>
      </w:r>
      <w:r w:rsidR="00500E8C">
        <w:t>би се те компаније могле ослонити на исте стандарде за пренос података о личности као што су стандарди усвојени у ЕУ и у другим земљама у свету</w:t>
      </w:r>
      <w:r w:rsidR="00904ABF" w:rsidRPr="006E4BB9">
        <w:t xml:space="preserve">. </w:t>
      </w:r>
      <w:r w:rsidR="00500E8C">
        <w:t>То што би таква предузећа могла</w:t>
      </w:r>
      <w:r w:rsidR="00A4375C">
        <w:t>,</w:t>
      </w:r>
      <w:r w:rsidR="00500E8C">
        <w:t xml:space="preserve"> на пример</w:t>
      </w:r>
      <w:r w:rsidR="00A4375C">
        <w:t>,</w:t>
      </w:r>
      <w:r w:rsidR="00500E8C">
        <w:t xml:space="preserve"> да </w:t>
      </w:r>
      <w:r w:rsidR="00A4375C">
        <w:t xml:space="preserve">при закључењу уговора </w:t>
      </w:r>
      <w:r w:rsidR="00500E8C">
        <w:t>користе стандардне уговорне клаузуле усвојене од стране Европске комисије</w:t>
      </w:r>
      <w:r w:rsidR="00A4375C">
        <w:t>,</w:t>
      </w:r>
      <w:r w:rsidR="00500E8C">
        <w:t xml:space="preserve"> кој</w:t>
      </w:r>
      <w:r w:rsidR="00A4375C">
        <w:t>е</w:t>
      </w:r>
      <w:r w:rsidR="00500E8C">
        <w:t xml:space="preserve"> би им </w:t>
      </w:r>
      <w:r w:rsidR="006B2AEB">
        <w:t xml:space="preserve">обезбеђивале </w:t>
      </w:r>
      <w:r w:rsidR="00500E8C">
        <w:t xml:space="preserve">законит пренос података из ЕУ у Србију и даље у друге земље (без </w:t>
      </w:r>
      <w:r w:rsidR="006B2AEB">
        <w:t xml:space="preserve">бојазни </w:t>
      </w:r>
      <w:r w:rsidR="00500E8C">
        <w:t>да стандардне уговорне клаузуле из ЕУ не би биле важеће према стандардима у Србији) представљало</w:t>
      </w:r>
      <w:r w:rsidR="006B2AEB">
        <w:t xml:space="preserve"> би</w:t>
      </w:r>
      <w:r w:rsidR="00500E8C">
        <w:t xml:space="preserve"> значајну практичну вредност за таква предузећа. Исто би онда требало да важи и за друге механизме преноса података на основу „одговарајућих заштитних мера“ у случајевима у којима никакво посебно одобрење од органа надлежног за заштиту података о личности НИЈЕ потребно. Овај Закон не предвиђа никакво „техничко препознавање“ одговарајућих заштитних мера одобрених у складу са </w:t>
      </w:r>
      <w:r w:rsidR="00CA510A" w:rsidRPr="006E4BB9">
        <w:rPr>
          <w:i/>
        </w:rPr>
        <w:t>GDPR</w:t>
      </w:r>
      <w:r w:rsidR="00500E8C">
        <w:t xml:space="preserve"> од стране надлежних органа у ЕУ</w:t>
      </w:r>
      <w:r w:rsidR="00904ABF" w:rsidRPr="006E4BB9">
        <w:t>.</w:t>
      </w:r>
      <w:r w:rsidR="00500E8C">
        <w:t xml:space="preserve"> Други предлог за решење би такође био да би одобрене одговарајуће заштитне мере у складу са </w:t>
      </w:r>
      <w:r w:rsidR="00CA510A" w:rsidRPr="006E4BB9">
        <w:rPr>
          <w:i/>
          <w:szCs w:val="24"/>
        </w:rPr>
        <w:t>GDPR</w:t>
      </w:r>
      <w:r w:rsidR="00500E8C">
        <w:rPr>
          <w:szCs w:val="24"/>
        </w:rPr>
        <w:t xml:space="preserve"> могле да буду важеће у Србији у зависности од афирмативне одлуке именованог надлежног органа у Србији за сваку „одговарајућу заштитну меру“ која је већ призната од стране ЕУ као таква</w:t>
      </w:r>
      <w:r w:rsidR="00904ABF" w:rsidRPr="006E4BB9">
        <w:rPr>
          <w:szCs w:val="24"/>
        </w:rPr>
        <w:t xml:space="preserve">. </w:t>
      </w:r>
    </w:p>
    <w:p w14:paraId="3D19ED4D" w14:textId="77777777" w:rsidR="00904ABF" w:rsidRPr="006E4BB9" w:rsidRDefault="00042950" w:rsidP="00904ABF">
      <w:pPr>
        <w:spacing w:before="160"/>
        <w:jc w:val="both"/>
        <w:rPr>
          <w:bCs/>
        </w:rPr>
      </w:pPr>
      <w:r>
        <w:rPr>
          <w:b/>
          <w:bCs/>
        </w:rPr>
        <w:t xml:space="preserve">Члан </w:t>
      </w:r>
      <w:r w:rsidR="00904ABF" w:rsidRPr="006E4BB9">
        <w:rPr>
          <w:b/>
          <w:bCs/>
        </w:rPr>
        <w:t>66:</w:t>
      </w:r>
    </w:p>
    <w:p w14:paraId="26B17C37" w14:textId="77777777" w:rsidR="00904ABF" w:rsidRPr="006E4BB9" w:rsidRDefault="00042950" w:rsidP="00904ABF">
      <w:pPr>
        <w:spacing w:before="160"/>
        <w:jc w:val="both"/>
        <w:rPr>
          <w:bCs/>
        </w:rPr>
      </w:pPr>
      <w:r>
        <w:rPr>
          <w:bCs/>
        </w:rPr>
        <w:t xml:space="preserve">У ставу </w:t>
      </w:r>
      <w:r w:rsidR="00904ABF" w:rsidRPr="006E4BB9">
        <w:rPr>
          <w:bCs/>
        </w:rPr>
        <w:t>1</w:t>
      </w:r>
      <w:r>
        <w:rPr>
          <w:bCs/>
        </w:rPr>
        <w:t>. није</w:t>
      </w:r>
      <w:r w:rsidR="00904ABF" w:rsidRPr="006E4BB9">
        <w:rPr>
          <w:bCs/>
        </w:rPr>
        <w:t xml:space="preserve"> </w:t>
      </w:r>
      <w:r>
        <w:rPr>
          <w:bCs/>
        </w:rPr>
        <w:t xml:space="preserve">предвиђено јасно упућивање на списак земаља које обезбеђују адекватан ниво заштите (видети и коментаре на члан </w:t>
      </w:r>
      <w:r w:rsidR="00904ABF" w:rsidRPr="006E4BB9">
        <w:rPr>
          <w:bCs/>
        </w:rPr>
        <w:t>65</w:t>
      </w:r>
      <w:r>
        <w:rPr>
          <w:bCs/>
        </w:rPr>
        <w:t xml:space="preserve">. став </w:t>
      </w:r>
      <w:r w:rsidR="00904ABF" w:rsidRPr="006E4BB9">
        <w:rPr>
          <w:bCs/>
        </w:rPr>
        <w:t>1</w:t>
      </w:r>
      <w:r>
        <w:rPr>
          <w:bCs/>
        </w:rPr>
        <w:t>.</w:t>
      </w:r>
      <w:r w:rsidR="00904ABF" w:rsidRPr="006E4BB9">
        <w:rPr>
          <w:bCs/>
        </w:rPr>
        <w:t>).</w:t>
      </w:r>
    </w:p>
    <w:p w14:paraId="01F70A46" w14:textId="77777777" w:rsidR="00904ABF" w:rsidRPr="006E4BB9" w:rsidRDefault="00904ABF" w:rsidP="00904ABF">
      <w:pPr>
        <w:spacing w:before="240" w:after="200" w:line="240" w:lineRule="auto"/>
        <w:jc w:val="both"/>
        <w:rPr>
          <w:b/>
          <w:bCs/>
        </w:rPr>
      </w:pPr>
      <w:r w:rsidRPr="006E4BB9">
        <w:rPr>
          <w:b/>
          <w:bCs/>
        </w:rPr>
        <w:t xml:space="preserve">VI. </w:t>
      </w:r>
      <w:r w:rsidR="00042950">
        <w:rPr>
          <w:b/>
          <w:bCs/>
        </w:rPr>
        <w:t>ПОВЕРЕНИК</w:t>
      </w:r>
    </w:p>
    <w:p w14:paraId="7D51CD0F" w14:textId="77777777" w:rsidR="00904ABF" w:rsidRPr="006E4BB9" w:rsidRDefault="00042950" w:rsidP="00904ABF">
      <w:pPr>
        <w:spacing w:before="120" w:after="0" w:line="240" w:lineRule="auto"/>
        <w:jc w:val="both"/>
        <w:rPr>
          <w:b/>
          <w:bCs/>
        </w:rPr>
      </w:pPr>
      <w:r>
        <w:rPr>
          <w:b/>
          <w:bCs/>
        </w:rPr>
        <w:t>Члан</w:t>
      </w:r>
      <w:r w:rsidR="00904ABF" w:rsidRPr="006E4BB9">
        <w:rPr>
          <w:b/>
          <w:bCs/>
        </w:rPr>
        <w:t xml:space="preserve"> 74:</w:t>
      </w:r>
    </w:p>
    <w:p w14:paraId="4634AA0B" w14:textId="77777777" w:rsidR="00525F45" w:rsidRPr="006E4BB9" w:rsidRDefault="00042950">
      <w:pPr>
        <w:spacing w:before="120" w:after="0" w:line="240" w:lineRule="auto"/>
        <w:jc w:val="both"/>
      </w:pPr>
      <w:r>
        <w:t xml:space="preserve">Иако се у </w:t>
      </w:r>
      <w:r w:rsidR="00CA510A" w:rsidRPr="006E4BB9">
        <w:rPr>
          <w:i/>
        </w:rPr>
        <w:t>GDPR</w:t>
      </w:r>
      <w:r>
        <w:t xml:space="preserve">  не захтева никакво посебно образовање, стручно знање, итд. за супервизоре, било би добро, по нашем мишљењу</w:t>
      </w:r>
      <w:r w:rsidR="00904ABF" w:rsidRPr="006E4BB9">
        <w:t>,</w:t>
      </w:r>
      <w:r>
        <w:t xml:space="preserve"> да такви захтеви постоје</w:t>
      </w:r>
      <w:r w:rsidR="00904ABF" w:rsidRPr="006E4BB9">
        <w:t xml:space="preserve">. </w:t>
      </w:r>
      <w:r>
        <w:t xml:space="preserve">Пошто ми нисмо стручњаци за правне прописе у Србији, можемо само претпоставити да су та питања уређена неким другим законом – </w:t>
      </w:r>
      <w:r w:rsidR="00680FF8">
        <w:t xml:space="preserve">иако на основу става </w:t>
      </w:r>
      <w:r w:rsidR="00904ABF" w:rsidRPr="006E4BB9">
        <w:t>4</w:t>
      </w:r>
      <w:r w:rsidR="00680FF8">
        <w:t>.</w:t>
      </w:r>
      <w:r w:rsidR="00904ABF" w:rsidRPr="006E4BB9">
        <w:t xml:space="preserve"> (</w:t>
      </w:r>
      <w:r w:rsidR="00680FF8">
        <w:rPr>
          <w:i/>
          <w:szCs w:val="24"/>
        </w:rPr>
        <w:t>Повереник независно врши одабир запослених међу кандидатима који задовољавају услове за рад у државним телима прописане законом и њима управља у потпуности независно</w:t>
      </w:r>
      <w:r w:rsidR="00904ABF" w:rsidRPr="006E4BB9">
        <w:rPr>
          <w:szCs w:val="24"/>
        </w:rPr>
        <w:t xml:space="preserve">) </w:t>
      </w:r>
      <w:r w:rsidR="00680FF8">
        <w:rPr>
          <w:szCs w:val="24"/>
        </w:rPr>
        <w:t>није јасно да ли су такви захтеви заправо прописани</w:t>
      </w:r>
      <w:r w:rsidR="00904ABF" w:rsidRPr="006E4BB9">
        <w:t>.</w:t>
      </w:r>
    </w:p>
    <w:p w14:paraId="6D6C40A2" w14:textId="77777777" w:rsidR="00904ABF" w:rsidRPr="006E4BB9" w:rsidRDefault="00680FF8" w:rsidP="00904ABF">
      <w:pPr>
        <w:spacing w:before="120" w:after="0" w:line="240" w:lineRule="auto"/>
        <w:jc w:val="both"/>
        <w:rPr>
          <w:b/>
          <w:bCs/>
        </w:rPr>
      </w:pPr>
      <w:r>
        <w:rPr>
          <w:b/>
          <w:bCs/>
        </w:rPr>
        <w:t xml:space="preserve">Члан </w:t>
      </w:r>
      <w:r w:rsidR="00904ABF" w:rsidRPr="006E4BB9">
        <w:rPr>
          <w:b/>
          <w:bCs/>
        </w:rPr>
        <w:t>77:</w:t>
      </w:r>
    </w:p>
    <w:p w14:paraId="6CF8827B" w14:textId="77777777" w:rsidR="00904ABF" w:rsidRPr="006E4BB9" w:rsidRDefault="0073305F" w:rsidP="00904ABF">
      <w:pPr>
        <w:spacing w:before="120" w:after="0" w:line="240" w:lineRule="auto"/>
        <w:jc w:val="both"/>
      </w:pPr>
      <w:r>
        <w:t>Надзорни орган је надлежан за извршење додељених задатака и вршење овлашћења, а не само за вршење овлашћења како произилази из овог члана</w:t>
      </w:r>
      <w:r w:rsidR="00904ABF" w:rsidRPr="006E4BB9">
        <w:t xml:space="preserve">. </w:t>
      </w:r>
      <w:r>
        <w:t>Наша је сугестија да се размотри измена овог члана у овом погледу</w:t>
      </w:r>
      <w:r w:rsidR="00904ABF" w:rsidRPr="006E4BB9">
        <w:t>.</w:t>
      </w:r>
    </w:p>
    <w:p w14:paraId="14B29DCD" w14:textId="77777777" w:rsidR="00904ABF" w:rsidRPr="006E4BB9" w:rsidRDefault="0073305F" w:rsidP="00904ABF">
      <w:pPr>
        <w:spacing w:before="120" w:after="0" w:line="240" w:lineRule="auto"/>
        <w:jc w:val="both"/>
        <w:rPr>
          <w:b/>
          <w:bCs/>
        </w:rPr>
      </w:pPr>
      <w:r>
        <w:rPr>
          <w:b/>
          <w:bCs/>
        </w:rPr>
        <w:t>Члан</w:t>
      </w:r>
      <w:r w:rsidR="00904ABF" w:rsidRPr="006E4BB9">
        <w:rPr>
          <w:b/>
          <w:bCs/>
        </w:rPr>
        <w:t xml:space="preserve"> 78:</w:t>
      </w:r>
    </w:p>
    <w:p w14:paraId="235C715B" w14:textId="77777777" w:rsidR="00904ABF" w:rsidRPr="006E4BB9" w:rsidRDefault="0073305F" w:rsidP="00904ABF">
      <w:pPr>
        <w:spacing w:before="120" w:after="0" w:line="240" w:lineRule="auto"/>
        <w:jc w:val="both"/>
      </w:pPr>
      <w:r>
        <w:t>При навођењу задатака у Закону се не наводи задатак провере законитости обраде</w:t>
      </w:r>
      <w:r w:rsidR="00904ABF" w:rsidRPr="006E4BB9">
        <w:t xml:space="preserve"> (</w:t>
      </w:r>
      <w:r>
        <w:t>верификација</w:t>
      </w:r>
      <w:r w:rsidR="00904ABF" w:rsidRPr="006E4BB9">
        <w:t xml:space="preserve">) </w:t>
      </w:r>
      <w:r>
        <w:t xml:space="preserve">у складу са чланом </w:t>
      </w:r>
      <w:r w:rsidR="00904ABF" w:rsidRPr="006E4BB9">
        <w:t>35</w:t>
      </w:r>
      <w:r>
        <w:t>.</w:t>
      </w:r>
      <w:r w:rsidR="00904ABF" w:rsidRPr="006E4BB9">
        <w:t xml:space="preserve"> </w:t>
      </w:r>
      <w:r>
        <w:t>и обавештавања лица на које се подаци односе</w:t>
      </w:r>
      <w:r w:rsidR="00904ABF" w:rsidRPr="006E4BB9">
        <w:t>.</w:t>
      </w:r>
    </w:p>
    <w:p w14:paraId="2C756629" w14:textId="77777777" w:rsidR="00904ABF" w:rsidRPr="006E4BB9" w:rsidRDefault="002F1BAA" w:rsidP="00904ABF">
      <w:pPr>
        <w:spacing w:before="120" w:after="0" w:line="240" w:lineRule="auto"/>
        <w:jc w:val="both"/>
      </w:pPr>
      <w:r>
        <w:t xml:space="preserve">Праћење у складу са ставком </w:t>
      </w:r>
      <w:r w:rsidR="00904ABF" w:rsidRPr="006E4BB9">
        <w:t>9)</w:t>
      </w:r>
      <w:r>
        <w:t xml:space="preserve"> треба нарочито, али не искључиво, да обухвата релевантни развој информационих и комуникационих технологија и комерцијалних пракси, који су релевантни за заштиту података о личности</w:t>
      </w:r>
      <w:r w:rsidR="00904ABF" w:rsidRPr="006E4BB9">
        <w:t>.</w:t>
      </w:r>
    </w:p>
    <w:p w14:paraId="2EDCEBEB" w14:textId="77777777" w:rsidR="00904ABF" w:rsidRPr="006E4BB9" w:rsidRDefault="002F1BAA" w:rsidP="00904ABF">
      <w:pPr>
        <w:spacing w:before="120" w:after="0" w:line="240" w:lineRule="auto"/>
        <w:jc w:val="both"/>
        <w:rPr>
          <w:szCs w:val="24"/>
        </w:rPr>
      </w:pPr>
      <w:r>
        <w:t xml:space="preserve">У ставци </w:t>
      </w:r>
      <w:r w:rsidR="00904ABF" w:rsidRPr="006E4BB9">
        <w:t xml:space="preserve">22) </w:t>
      </w:r>
      <w:r>
        <w:t xml:space="preserve">се предвиђа да Повереник обавља све остале задатке у складу са овим Законом. Ако се има на уму да Закон садржи одређена упућивања на друге националне правне прописе, </w:t>
      </w:r>
      <w:r>
        <w:lastRenderedPageBreak/>
        <w:t>важно је проверити да ли се можда тим законима прописују било који други задаци Повереника у области заштите података о личности</w:t>
      </w:r>
      <w:r w:rsidR="00904ABF" w:rsidRPr="006E4BB9">
        <w:rPr>
          <w:szCs w:val="24"/>
        </w:rPr>
        <w:t>.</w:t>
      </w:r>
    </w:p>
    <w:p w14:paraId="6C53529C" w14:textId="77777777" w:rsidR="00904ABF" w:rsidRPr="006E4BB9" w:rsidRDefault="002F1BAA" w:rsidP="00904ABF">
      <w:pPr>
        <w:spacing w:before="120" w:after="0" w:line="240" w:lineRule="auto"/>
        <w:jc w:val="both"/>
        <w:rPr>
          <w:szCs w:val="24"/>
        </w:rPr>
      </w:pPr>
      <w:r>
        <w:rPr>
          <w:szCs w:val="24"/>
        </w:rPr>
        <w:t xml:space="preserve">Предлажемо да се у ставу </w:t>
      </w:r>
      <w:r w:rsidR="00904ABF" w:rsidRPr="006E4BB9">
        <w:rPr>
          <w:szCs w:val="24"/>
        </w:rPr>
        <w:t>7</w:t>
      </w:r>
      <w:r>
        <w:rPr>
          <w:szCs w:val="24"/>
        </w:rPr>
        <w:t>.</w:t>
      </w:r>
      <w:r w:rsidR="00904ABF" w:rsidRPr="006E4BB9">
        <w:rPr>
          <w:szCs w:val="24"/>
        </w:rPr>
        <w:t xml:space="preserve"> </w:t>
      </w:r>
      <w:r>
        <w:rPr>
          <w:szCs w:val="24"/>
        </w:rPr>
        <w:t>реч</w:t>
      </w:r>
      <w:r w:rsidR="00904ABF" w:rsidRPr="006E4BB9">
        <w:rPr>
          <w:szCs w:val="24"/>
        </w:rPr>
        <w:t xml:space="preserve"> </w:t>
      </w:r>
      <w:r>
        <w:rPr>
          <w:szCs w:val="24"/>
        </w:rPr>
        <w:t>„притужбе“ замени речју „захтеви“, пошто она обухвата све врсте поднетих пријава и да се реч „или“ замени речју „нарочито“. Захтеви могу бити претерани нарочито због</w:t>
      </w:r>
      <w:r w:rsidR="00D3004B">
        <w:rPr>
          <w:szCs w:val="24"/>
        </w:rPr>
        <w:t xml:space="preserve"> тога што се понављају, па је ово појашњење претераности</w:t>
      </w:r>
      <w:r w:rsidR="00904ABF" w:rsidRPr="006E4BB9">
        <w:rPr>
          <w:szCs w:val="24"/>
        </w:rPr>
        <w:t xml:space="preserve">. </w:t>
      </w:r>
    </w:p>
    <w:p w14:paraId="53952C5F" w14:textId="77777777" w:rsidR="00904ABF" w:rsidRPr="006E4BB9" w:rsidRDefault="00D3004B" w:rsidP="00904ABF">
      <w:pPr>
        <w:spacing w:before="120" w:after="0" w:line="240" w:lineRule="auto"/>
        <w:jc w:val="both"/>
        <w:rPr>
          <w:b/>
          <w:bCs/>
          <w:szCs w:val="24"/>
        </w:rPr>
      </w:pPr>
      <w:r>
        <w:rPr>
          <w:b/>
          <w:bCs/>
          <w:szCs w:val="24"/>
        </w:rPr>
        <w:t>Члан</w:t>
      </w:r>
      <w:r w:rsidR="00904ABF" w:rsidRPr="006E4BB9">
        <w:rPr>
          <w:b/>
          <w:bCs/>
          <w:szCs w:val="24"/>
        </w:rPr>
        <w:t xml:space="preserve"> 79:</w:t>
      </w:r>
    </w:p>
    <w:p w14:paraId="1CD4228A" w14:textId="77777777" w:rsidR="00904ABF" w:rsidRPr="006E4BB9" w:rsidRDefault="00D3004B" w:rsidP="00904ABF">
      <w:pPr>
        <w:spacing w:before="120" w:after="0" w:line="240" w:lineRule="auto"/>
        <w:jc w:val="both"/>
        <w:rPr>
          <w:szCs w:val="24"/>
        </w:rPr>
      </w:pPr>
      <w:r>
        <w:rPr>
          <w:szCs w:val="24"/>
        </w:rPr>
        <w:t xml:space="preserve">Прву ставку става </w:t>
      </w:r>
      <w:r w:rsidR="00904ABF" w:rsidRPr="006E4BB9">
        <w:rPr>
          <w:szCs w:val="24"/>
        </w:rPr>
        <w:t>3</w:t>
      </w:r>
      <w:r>
        <w:rPr>
          <w:szCs w:val="24"/>
        </w:rPr>
        <w:t>.</w:t>
      </w:r>
      <w:r w:rsidR="00904ABF" w:rsidRPr="006E4BB9">
        <w:rPr>
          <w:szCs w:val="24"/>
        </w:rPr>
        <w:t xml:space="preserve"> </w:t>
      </w:r>
      <w:r>
        <w:rPr>
          <w:szCs w:val="24"/>
        </w:rPr>
        <w:t>треба</w:t>
      </w:r>
      <w:r w:rsidR="00904ABF" w:rsidRPr="006E4BB9">
        <w:rPr>
          <w:szCs w:val="24"/>
        </w:rPr>
        <w:t xml:space="preserve"> </w:t>
      </w:r>
      <w:r>
        <w:rPr>
          <w:szCs w:val="24"/>
        </w:rPr>
        <w:t>изменити у складу са претходно наведеним коментарима на члан</w:t>
      </w:r>
      <w:r w:rsidR="00904ABF" w:rsidRPr="006E4BB9">
        <w:rPr>
          <w:szCs w:val="24"/>
        </w:rPr>
        <w:t xml:space="preserve"> 65. </w:t>
      </w:r>
      <w:r>
        <w:rPr>
          <w:szCs w:val="24"/>
        </w:rPr>
        <w:t xml:space="preserve">Преноси података су исто тако могући између </w:t>
      </w:r>
      <w:r w:rsidR="00733490">
        <w:rPr>
          <w:szCs w:val="24"/>
        </w:rPr>
        <w:t>руковаоца</w:t>
      </w:r>
      <w:r>
        <w:rPr>
          <w:szCs w:val="24"/>
        </w:rPr>
        <w:t xml:space="preserve"> и другог </w:t>
      </w:r>
      <w:r w:rsidR="00733490">
        <w:rPr>
          <w:szCs w:val="24"/>
        </w:rPr>
        <w:t>руковаоца</w:t>
      </w:r>
      <w:r>
        <w:rPr>
          <w:szCs w:val="24"/>
        </w:rPr>
        <w:t xml:space="preserve">. </w:t>
      </w:r>
      <w:r w:rsidR="00261D79">
        <w:rPr>
          <w:szCs w:val="24"/>
        </w:rPr>
        <w:t>За такву обраду у постојећој верзији Закона не постоји правна основа за усвајање стандардних уговорних клаузула</w:t>
      </w:r>
      <w:r w:rsidR="00904ABF" w:rsidRPr="006E4BB9">
        <w:rPr>
          <w:szCs w:val="24"/>
        </w:rPr>
        <w:t xml:space="preserve">. </w:t>
      </w:r>
      <w:r w:rsidR="00261D79">
        <w:rPr>
          <w:szCs w:val="24"/>
        </w:rPr>
        <w:t xml:space="preserve">Такође би било могуће да се врши пренос података између </w:t>
      </w:r>
      <w:r w:rsidR="00733490">
        <w:rPr>
          <w:szCs w:val="24"/>
        </w:rPr>
        <w:t>обрађивача</w:t>
      </w:r>
      <w:r w:rsidR="00261D79">
        <w:rPr>
          <w:szCs w:val="24"/>
        </w:rPr>
        <w:t xml:space="preserve"> и другог </w:t>
      </w:r>
      <w:r w:rsidR="00733490">
        <w:rPr>
          <w:szCs w:val="24"/>
        </w:rPr>
        <w:t>обрађивача</w:t>
      </w:r>
      <w:r w:rsidR="00261D79">
        <w:rPr>
          <w:szCs w:val="24"/>
        </w:rPr>
        <w:t>. Иако овај тим стандардне уговорне клаузуле тренутно није доступан, њу Комисија може усвојити</w:t>
      </w:r>
      <w:r w:rsidR="00904ABF" w:rsidRPr="006E4BB9">
        <w:rPr>
          <w:szCs w:val="24"/>
        </w:rPr>
        <w:t xml:space="preserve">. </w:t>
      </w:r>
    </w:p>
    <w:p w14:paraId="113DBC70" w14:textId="77777777" w:rsidR="00904ABF" w:rsidRPr="006E4BB9" w:rsidRDefault="00261D79" w:rsidP="00904ABF">
      <w:pPr>
        <w:spacing w:before="120" w:after="0" w:line="240" w:lineRule="auto"/>
        <w:jc w:val="both"/>
        <w:rPr>
          <w:szCs w:val="24"/>
        </w:rPr>
      </w:pPr>
      <w:r>
        <w:rPr>
          <w:szCs w:val="24"/>
        </w:rPr>
        <w:t xml:space="preserve">Наш предлог је да се последњим ставом предвиди да Повереник, у случајевима кршења Закона, може покренути </w:t>
      </w:r>
      <w:r>
        <w:rPr>
          <w:i/>
          <w:szCs w:val="24"/>
        </w:rPr>
        <w:t>или се на други начин ангаж</w:t>
      </w:r>
      <w:r w:rsidR="001C7DCB">
        <w:rPr>
          <w:i/>
          <w:szCs w:val="24"/>
        </w:rPr>
        <w:t>овати</w:t>
      </w:r>
      <w:r w:rsidR="00904ABF" w:rsidRPr="006E4BB9">
        <w:rPr>
          <w:szCs w:val="24"/>
        </w:rPr>
        <w:t xml:space="preserve"> </w:t>
      </w:r>
      <w:r>
        <w:rPr>
          <w:szCs w:val="24"/>
        </w:rPr>
        <w:t>у поступку пред судом или неким другим (судским) органом у циљу извршења одредби овог Закона</w:t>
      </w:r>
      <w:r w:rsidR="00904ABF" w:rsidRPr="006E4BB9">
        <w:rPr>
          <w:szCs w:val="24"/>
        </w:rPr>
        <w:t>.</w:t>
      </w:r>
    </w:p>
    <w:p w14:paraId="0872BFED" w14:textId="77777777" w:rsidR="00904ABF" w:rsidRPr="006E4BB9" w:rsidRDefault="00261D79" w:rsidP="00904ABF">
      <w:pPr>
        <w:spacing w:before="240" w:after="200" w:line="240" w:lineRule="auto"/>
        <w:jc w:val="both"/>
        <w:rPr>
          <w:b/>
          <w:bCs/>
        </w:rPr>
      </w:pPr>
      <w:r>
        <w:rPr>
          <w:b/>
          <w:bCs/>
        </w:rPr>
        <w:t>VII. ПРАВНА СРЕДСТВА И САНКЦИЈЕ</w:t>
      </w:r>
    </w:p>
    <w:p w14:paraId="35399328" w14:textId="77777777" w:rsidR="00904ABF" w:rsidRPr="006E4BB9" w:rsidRDefault="001C7DCB" w:rsidP="00904ABF">
      <w:pPr>
        <w:spacing w:before="160"/>
        <w:jc w:val="both"/>
        <w:rPr>
          <w:b/>
          <w:bCs/>
        </w:rPr>
      </w:pPr>
      <w:r>
        <w:rPr>
          <w:b/>
          <w:bCs/>
        </w:rPr>
        <w:t xml:space="preserve">Члан </w:t>
      </w:r>
      <w:r w:rsidR="00904ABF" w:rsidRPr="006E4BB9">
        <w:rPr>
          <w:b/>
          <w:bCs/>
        </w:rPr>
        <w:t>85:</w:t>
      </w:r>
    </w:p>
    <w:p w14:paraId="7CCF37E0" w14:textId="77777777" w:rsidR="00904ABF" w:rsidRPr="006E4BB9" w:rsidRDefault="001C7DCB" w:rsidP="00904ABF">
      <w:pPr>
        <w:spacing w:before="160"/>
        <w:jc w:val="both"/>
        <w:rPr>
          <w:bCs/>
        </w:rPr>
      </w:pPr>
      <w:r>
        <w:rPr>
          <w:bCs/>
        </w:rPr>
        <w:t xml:space="preserve">У члану </w:t>
      </w:r>
      <w:r w:rsidR="00904ABF" w:rsidRPr="006E4BB9">
        <w:rPr>
          <w:bCs/>
        </w:rPr>
        <w:t>85</w:t>
      </w:r>
      <w:r>
        <w:rPr>
          <w:bCs/>
        </w:rPr>
        <w:t>.</w:t>
      </w:r>
      <w:r w:rsidR="00904ABF" w:rsidRPr="006E4BB9">
        <w:rPr>
          <w:bCs/>
        </w:rPr>
        <w:t xml:space="preserve"> </w:t>
      </w:r>
      <w:r>
        <w:rPr>
          <w:bCs/>
        </w:rPr>
        <w:t>се</w:t>
      </w:r>
      <w:r w:rsidR="00904ABF" w:rsidRPr="006E4BB9">
        <w:rPr>
          <w:bCs/>
        </w:rPr>
        <w:t xml:space="preserve"> </w:t>
      </w:r>
      <w:r>
        <w:rPr>
          <w:bCs/>
        </w:rPr>
        <w:t>предвиђа да лица на која се подаци односе имају право да овласте представника удружења које се бави заштитом права и слобода лица на која се подаци односе, и у вези са заштитом података о личности</w:t>
      </w:r>
      <w:r w:rsidR="00904ABF" w:rsidRPr="006E4BB9">
        <w:rPr>
          <w:bCs/>
        </w:rPr>
        <w:t xml:space="preserve">, </w:t>
      </w:r>
      <w:r>
        <w:rPr>
          <w:bCs/>
        </w:rPr>
        <w:t>да их представља у судским поступцима у вези са заштитом података</w:t>
      </w:r>
      <w:r w:rsidR="00904ABF" w:rsidRPr="006E4BB9">
        <w:rPr>
          <w:bCs/>
        </w:rPr>
        <w:t>.</w:t>
      </w:r>
      <w:r>
        <w:rPr>
          <w:bCs/>
        </w:rPr>
        <w:t xml:space="preserve"> Према члану</w:t>
      </w:r>
      <w:r w:rsidR="00904ABF" w:rsidRPr="006E4BB9">
        <w:rPr>
          <w:bCs/>
        </w:rPr>
        <w:t xml:space="preserve"> 80</w:t>
      </w:r>
      <w:r>
        <w:rPr>
          <w:bCs/>
        </w:rPr>
        <w:t>. став</w:t>
      </w:r>
      <w:r w:rsidR="00904ABF" w:rsidRPr="006E4BB9">
        <w:rPr>
          <w:bCs/>
        </w:rPr>
        <w:t xml:space="preserve"> (1) </w:t>
      </w:r>
      <w:r w:rsidR="00CA510A" w:rsidRPr="006E4BB9">
        <w:rPr>
          <w:bCs/>
          <w:i/>
        </w:rPr>
        <w:t>GDPR</w:t>
      </w:r>
      <w:r>
        <w:rPr>
          <w:bCs/>
          <w:i/>
        </w:rPr>
        <w:t>,</w:t>
      </w:r>
      <w:r w:rsidR="00904ABF" w:rsidRPr="006E4BB9">
        <w:rPr>
          <w:bCs/>
        </w:rPr>
        <w:t xml:space="preserve"> </w:t>
      </w:r>
      <w:r>
        <w:rPr>
          <w:bCs/>
        </w:rPr>
        <w:t>такво удружење мора бити на одговарајући начин конституисано у складу са правом државе чланице, мора да остварује законске циљеве који су у јавном интересу и мора да буде активно у области заштите права и слобода лица на која се подаци односе у погледу заштите њихових података о личности</w:t>
      </w:r>
      <w:r w:rsidR="00904ABF" w:rsidRPr="006E4BB9">
        <w:rPr>
          <w:bCs/>
        </w:rPr>
        <w:t xml:space="preserve">. </w:t>
      </w:r>
      <w:r>
        <w:rPr>
          <w:bCs/>
        </w:rPr>
        <w:t xml:space="preserve">Исти критеријуми су постављени и чланом </w:t>
      </w:r>
      <w:r w:rsidR="00904ABF" w:rsidRPr="006E4BB9">
        <w:rPr>
          <w:bCs/>
        </w:rPr>
        <w:t>55</w:t>
      </w:r>
      <w:r>
        <w:rPr>
          <w:bCs/>
        </w:rPr>
        <w:t>.</w:t>
      </w:r>
      <w:r w:rsidR="00904ABF" w:rsidRPr="006E4BB9">
        <w:rPr>
          <w:bCs/>
        </w:rPr>
        <w:t xml:space="preserve"> </w:t>
      </w:r>
      <w:r w:rsidR="00CA510A" w:rsidRPr="001C7DCB">
        <w:rPr>
          <w:bCs/>
          <w:i/>
        </w:rPr>
        <w:t>LED</w:t>
      </w:r>
      <w:r w:rsidR="00904ABF" w:rsidRPr="006E4BB9">
        <w:rPr>
          <w:bCs/>
        </w:rPr>
        <w:t xml:space="preserve">. </w:t>
      </w:r>
      <w:r>
        <w:rPr>
          <w:bCs/>
        </w:rPr>
        <w:t>У складу са овим захтевима, правне тековине ЕУ захтевају темељнији опис у погледу оснивања такве институције, начина признавања њеног рада у јавном интересу, итд.</w:t>
      </w:r>
      <w:r w:rsidR="00E237E0">
        <w:rPr>
          <w:bCs/>
        </w:rPr>
        <w:t xml:space="preserve"> Такође би било могуће да се наведу поменути критеријуми и да се пружи упућивање на неки одређени правни пропис којим ће се уредити ова област</w:t>
      </w:r>
      <w:r w:rsidR="00904ABF" w:rsidRPr="006E4BB9">
        <w:rPr>
          <w:bCs/>
        </w:rPr>
        <w:t xml:space="preserve"> (</w:t>
      </w:r>
      <w:r w:rsidR="00E237E0">
        <w:rPr>
          <w:bCs/>
        </w:rPr>
        <w:t>на пример, неки општи акт о удруживању</w:t>
      </w:r>
      <w:r w:rsidR="00904ABF" w:rsidRPr="006E4BB9">
        <w:rPr>
          <w:bCs/>
        </w:rPr>
        <w:t>).</w:t>
      </w:r>
    </w:p>
    <w:p w14:paraId="349F7E1E" w14:textId="77777777" w:rsidR="00904ABF" w:rsidRPr="006E4BB9" w:rsidRDefault="00E237E0" w:rsidP="00904ABF">
      <w:pPr>
        <w:spacing w:before="160"/>
        <w:jc w:val="both"/>
        <w:rPr>
          <w:bCs/>
        </w:rPr>
      </w:pPr>
      <w:r>
        <w:rPr>
          <w:bCs/>
        </w:rPr>
        <w:t>По нашем мишљењу, пошто Закон не садржи одредбе у којима се детаљније наводи ко може бити представник, упитно је да ли ће надлежност за представљање имати само одговарајуће/надлежне организације.</w:t>
      </w:r>
      <w:r w:rsidR="00904ABF" w:rsidRPr="006E4BB9">
        <w:rPr>
          <w:bCs/>
        </w:rPr>
        <w:t xml:space="preserve"> </w:t>
      </w:r>
    </w:p>
    <w:p w14:paraId="65B6148C" w14:textId="77777777" w:rsidR="00904ABF" w:rsidRPr="006E4BB9" w:rsidRDefault="00E237E0" w:rsidP="00904ABF">
      <w:pPr>
        <w:spacing w:before="160"/>
        <w:jc w:val="both"/>
        <w:rPr>
          <w:b/>
          <w:bCs/>
        </w:rPr>
      </w:pPr>
      <w:r>
        <w:rPr>
          <w:b/>
          <w:bCs/>
        </w:rPr>
        <w:t>Члан</w:t>
      </w:r>
      <w:r w:rsidR="00904ABF" w:rsidRPr="006E4BB9">
        <w:rPr>
          <w:b/>
          <w:bCs/>
        </w:rPr>
        <w:t xml:space="preserve"> 87:</w:t>
      </w:r>
    </w:p>
    <w:p w14:paraId="153F1BEC" w14:textId="77777777" w:rsidR="00904ABF" w:rsidRPr="006E4BB9" w:rsidRDefault="00E237E0" w:rsidP="00904ABF">
      <w:pPr>
        <w:jc w:val="both"/>
      </w:pPr>
      <w:r>
        <w:t xml:space="preserve">Постојећи Закон је нејасан у погледу тога како ће критеријуми из члана </w:t>
      </w:r>
      <w:r w:rsidR="00904ABF" w:rsidRPr="006E4BB9">
        <w:t>87</w:t>
      </w:r>
      <w:r>
        <w:t>. за кажњавање кршења бити поштовани у прекршајном поступку. У члану</w:t>
      </w:r>
      <w:r w:rsidR="00904ABF" w:rsidRPr="006E4BB9">
        <w:t xml:space="preserve"> 87</w:t>
      </w:r>
      <w:r>
        <w:t>. Закона се користи реч „административне новчане казне“</w:t>
      </w:r>
      <w:r w:rsidR="00904ABF" w:rsidRPr="006E4BB9">
        <w:t xml:space="preserve"> (</w:t>
      </w:r>
      <w:r>
        <w:t xml:space="preserve">исто као и у </w:t>
      </w:r>
      <w:r w:rsidR="00CA510A" w:rsidRPr="006E4BB9">
        <w:rPr>
          <w:i/>
        </w:rPr>
        <w:t>GDPR</w:t>
      </w:r>
      <w:r w:rsidR="00904ABF" w:rsidRPr="006E4BB9">
        <w:t xml:space="preserve">), </w:t>
      </w:r>
      <w:r>
        <w:t>док се у одељку о казненим одредбама корист</w:t>
      </w:r>
      <w:r w:rsidR="005238A8">
        <w:t>е</w:t>
      </w:r>
      <w:r>
        <w:t xml:space="preserve"> реч</w:t>
      </w:r>
      <w:r w:rsidR="005238A8">
        <w:t>и</w:t>
      </w:r>
      <w:r>
        <w:t xml:space="preserve"> „</w:t>
      </w:r>
      <w:r w:rsidR="005238A8">
        <w:t xml:space="preserve">за </w:t>
      </w:r>
      <w:r>
        <w:t>прекршаје“</w:t>
      </w:r>
      <w:r w:rsidR="00904ABF" w:rsidRPr="006E4BB9">
        <w:t xml:space="preserve">. </w:t>
      </w:r>
      <w:r w:rsidR="005238A8">
        <w:t xml:space="preserve">Пошто ми нисмо експерти за казнене правне одредбе у Србији, ми бисмо само истакли да не постоји јасна назнака о томе да ће критеријуми из члана </w:t>
      </w:r>
      <w:r w:rsidR="00904ABF" w:rsidRPr="006E4BB9">
        <w:t>87</w:t>
      </w:r>
      <w:r w:rsidR="005238A8">
        <w:t>. бити</w:t>
      </w:r>
      <w:r w:rsidR="00904ABF" w:rsidRPr="006E4BB9">
        <w:t xml:space="preserve"> </w:t>
      </w:r>
      <w:r w:rsidR="005238A8">
        <w:t>коришћени при утврђивању казне у складу са поступком који ће се примењивати у појединачним случајевима</w:t>
      </w:r>
      <w:r w:rsidR="00904ABF" w:rsidRPr="006E4BB9">
        <w:t>.</w:t>
      </w:r>
    </w:p>
    <w:p w14:paraId="311EF724" w14:textId="77777777" w:rsidR="00904ABF" w:rsidRPr="006E4BB9" w:rsidRDefault="00904ABF" w:rsidP="00904ABF">
      <w:pPr>
        <w:spacing w:before="240" w:after="200" w:line="240" w:lineRule="auto"/>
        <w:jc w:val="both"/>
        <w:rPr>
          <w:b/>
          <w:bCs/>
        </w:rPr>
      </w:pPr>
      <w:r w:rsidRPr="006E4BB9">
        <w:rPr>
          <w:b/>
          <w:bCs/>
        </w:rPr>
        <w:t xml:space="preserve">VIII. </w:t>
      </w:r>
      <w:r w:rsidR="005238A8">
        <w:rPr>
          <w:b/>
          <w:bCs/>
        </w:rPr>
        <w:t>ПОСЕБНИ СЛУЧАЈЕВИ ОБРАДЕ</w:t>
      </w:r>
    </w:p>
    <w:p w14:paraId="0BFBE1B8" w14:textId="77777777" w:rsidR="00904ABF" w:rsidRPr="006E4BB9" w:rsidRDefault="00E237E0" w:rsidP="00904ABF">
      <w:pPr>
        <w:spacing w:before="160"/>
        <w:jc w:val="both"/>
        <w:rPr>
          <w:b/>
          <w:bCs/>
        </w:rPr>
      </w:pPr>
      <w:r>
        <w:rPr>
          <w:b/>
          <w:bCs/>
        </w:rPr>
        <w:t xml:space="preserve">Члан </w:t>
      </w:r>
      <w:r w:rsidR="00904ABF" w:rsidRPr="006E4BB9">
        <w:rPr>
          <w:b/>
          <w:bCs/>
        </w:rPr>
        <w:t>89:</w:t>
      </w:r>
    </w:p>
    <w:p w14:paraId="590F07D0" w14:textId="77777777" w:rsidR="00904ABF" w:rsidRPr="006E4BB9" w:rsidRDefault="005238A8" w:rsidP="00904ABF">
      <w:pPr>
        <w:spacing w:before="160"/>
        <w:jc w:val="both"/>
        <w:rPr>
          <w:bCs/>
        </w:rPr>
      </w:pPr>
      <w:r>
        <w:rPr>
          <w:bCs/>
        </w:rPr>
        <w:lastRenderedPageBreak/>
        <w:t>Реализација оба људска права</w:t>
      </w:r>
      <w:r w:rsidR="00904ABF" w:rsidRPr="006E4BB9">
        <w:rPr>
          <w:bCs/>
        </w:rPr>
        <w:t xml:space="preserve"> (</w:t>
      </w:r>
      <w:r>
        <w:rPr>
          <w:bCs/>
        </w:rPr>
        <w:t>приступ информацијама од јавног значаја и заштита података о личности</w:t>
      </w:r>
      <w:r w:rsidR="00904ABF" w:rsidRPr="006E4BB9">
        <w:rPr>
          <w:bCs/>
        </w:rPr>
        <w:t xml:space="preserve">) </w:t>
      </w:r>
      <w:r w:rsidR="00E0522B">
        <w:rPr>
          <w:bCs/>
        </w:rPr>
        <w:t>обично има за резултат сукоб, тако да се захтева ограничавање оба права како би се остварила поштена равнотежа у појединачном случају. У већини случајева, када се успоставља ова равнотежа не могу се поштовати оба људска права, па се она морају на одговарајући начин ограничити у погледу легитимних интереса који произилазе из појединачног случаја</w:t>
      </w:r>
      <w:r w:rsidR="00904ABF" w:rsidRPr="006E4BB9">
        <w:rPr>
          <w:bCs/>
        </w:rPr>
        <w:t xml:space="preserve">. </w:t>
      </w:r>
      <w:r w:rsidR="00E0522B">
        <w:rPr>
          <w:bCs/>
          <w:u w:val="single"/>
        </w:rPr>
        <w:t>Стога би било примереније да се уместо формулације</w:t>
      </w:r>
      <w:r w:rsidR="00904ABF" w:rsidRPr="006E4BB9">
        <w:rPr>
          <w:bCs/>
          <w:u w:val="single"/>
        </w:rPr>
        <w:t xml:space="preserve"> </w:t>
      </w:r>
      <w:r w:rsidR="00E0522B">
        <w:rPr>
          <w:bCs/>
          <w:u w:val="single"/>
        </w:rPr>
        <w:t>„</w:t>
      </w:r>
      <w:r w:rsidR="007D7330">
        <w:rPr>
          <w:bCs/>
          <w:i/>
          <w:u w:val="single"/>
        </w:rPr>
        <w:t>остварити заједно“</w:t>
      </w:r>
      <w:r w:rsidR="00904ABF" w:rsidRPr="006E4BB9">
        <w:rPr>
          <w:bCs/>
          <w:u w:val="single"/>
        </w:rPr>
        <w:t xml:space="preserve"> (</w:t>
      </w:r>
      <w:r w:rsidR="007D7330">
        <w:rPr>
          <w:bCs/>
          <w:u w:val="single"/>
        </w:rPr>
        <w:t>која се користи у члану</w:t>
      </w:r>
      <w:r w:rsidR="00904ABF" w:rsidRPr="006E4BB9">
        <w:rPr>
          <w:bCs/>
          <w:u w:val="single"/>
        </w:rPr>
        <w:t xml:space="preserve"> 89</w:t>
      </w:r>
      <w:r w:rsidR="007D7330">
        <w:rPr>
          <w:bCs/>
          <w:u w:val="single"/>
        </w:rPr>
        <w:t>. Закона</w:t>
      </w:r>
      <w:r w:rsidR="00904ABF" w:rsidRPr="006E4BB9">
        <w:rPr>
          <w:bCs/>
          <w:u w:val="single"/>
        </w:rPr>
        <w:t xml:space="preserve">) </w:t>
      </w:r>
      <w:r w:rsidR="007D7330">
        <w:rPr>
          <w:bCs/>
          <w:u w:val="single"/>
        </w:rPr>
        <w:t>користе формулације „</w:t>
      </w:r>
      <w:r w:rsidR="007D7330">
        <w:rPr>
          <w:bCs/>
          <w:i/>
          <w:u w:val="single"/>
        </w:rPr>
        <w:t>поштена равнотежа између“</w:t>
      </w:r>
      <w:r w:rsidR="007D7330">
        <w:rPr>
          <w:bCs/>
          <w:u w:val="single"/>
        </w:rPr>
        <w:t xml:space="preserve"> или „</w:t>
      </w:r>
      <w:r w:rsidR="007D7330">
        <w:rPr>
          <w:bCs/>
          <w:i/>
          <w:u w:val="single"/>
        </w:rPr>
        <w:t>на одговарајући начин избалансирати</w:t>
      </w:r>
      <w:r w:rsidR="00904ABF" w:rsidRPr="006E4BB9">
        <w:rPr>
          <w:bCs/>
          <w:i/>
          <w:u w:val="single"/>
        </w:rPr>
        <w:t>/</w:t>
      </w:r>
      <w:r w:rsidR="007D7330">
        <w:rPr>
          <w:bCs/>
          <w:i/>
          <w:u w:val="single"/>
        </w:rPr>
        <w:t>поштовати“</w:t>
      </w:r>
      <w:r w:rsidR="00904ABF" w:rsidRPr="006E4BB9">
        <w:rPr>
          <w:bCs/>
          <w:u w:val="single"/>
        </w:rPr>
        <w:t>.</w:t>
      </w:r>
    </w:p>
    <w:p w14:paraId="30ABAAB4" w14:textId="77777777" w:rsidR="00904ABF" w:rsidRPr="006E4BB9" w:rsidRDefault="00E237E0" w:rsidP="00904ABF">
      <w:pPr>
        <w:spacing w:before="160"/>
        <w:jc w:val="both"/>
        <w:rPr>
          <w:b/>
          <w:bCs/>
        </w:rPr>
      </w:pPr>
      <w:r>
        <w:rPr>
          <w:b/>
          <w:bCs/>
        </w:rPr>
        <w:t xml:space="preserve">Члан </w:t>
      </w:r>
      <w:r w:rsidR="00904ABF" w:rsidRPr="006E4BB9">
        <w:rPr>
          <w:b/>
          <w:bCs/>
        </w:rPr>
        <w:t>91:</w:t>
      </w:r>
    </w:p>
    <w:p w14:paraId="44C083B2" w14:textId="77777777" w:rsidR="00904ABF" w:rsidRPr="006E4BB9" w:rsidRDefault="007D7330" w:rsidP="00904ABF">
      <w:pPr>
        <w:spacing w:before="160"/>
        <w:jc w:val="both"/>
        <w:rPr>
          <w:bCs/>
        </w:rPr>
      </w:pPr>
      <w:r>
        <w:rPr>
          <w:bCs/>
        </w:rPr>
        <w:t xml:space="preserve">Став </w:t>
      </w:r>
      <w:r w:rsidR="00904ABF" w:rsidRPr="006E4BB9">
        <w:rPr>
          <w:bCs/>
        </w:rPr>
        <w:t>1</w:t>
      </w:r>
      <w:r>
        <w:rPr>
          <w:bCs/>
        </w:rPr>
        <w:t>. гласи: „</w:t>
      </w:r>
      <w:r>
        <w:rPr>
          <w:bCs/>
          <w:i/>
        </w:rPr>
        <w:t>На заштиту података о личности у области рада и запошљавања примењују се одредбе закона којим</w:t>
      </w:r>
      <w:r w:rsidR="00F1067B">
        <w:rPr>
          <w:bCs/>
          <w:i/>
        </w:rPr>
        <w:t>а</w:t>
      </w:r>
      <w:r>
        <w:rPr>
          <w:bCs/>
          <w:i/>
        </w:rPr>
        <w:t xml:space="preserve"> се уређују рад и запошљавање, као и колективни уговор</w:t>
      </w:r>
      <w:r w:rsidR="00F1067B">
        <w:rPr>
          <w:bCs/>
          <w:i/>
        </w:rPr>
        <w:t>и,</w:t>
      </w:r>
      <w:r w:rsidR="00904ABF" w:rsidRPr="006E4BB9">
        <w:rPr>
          <w:bCs/>
          <w:i/>
        </w:rPr>
        <w:t xml:space="preserve"> </w:t>
      </w:r>
      <w:r w:rsidR="00F1067B">
        <w:rPr>
          <w:bCs/>
          <w:i/>
          <w:u w:val="single"/>
        </w:rPr>
        <w:t>уз примену одредби овог закона</w:t>
      </w:r>
      <w:r w:rsidR="00F1067B">
        <w:rPr>
          <w:bCs/>
        </w:rPr>
        <w:t>”. Сврху ове одредбе не треба тумачити тако да се колективним уговорима може подрити или заменити захтеви утврђени овим законом у погледу радних односа. Сврха је да се предвиде специфичнија правила како би се обезбедила заштита права и слобода појединаца</w:t>
      </w:r>
      <w:r w:rsidR="00904ABF" w:rsidRPr="006E4BB9">
        <w:rPr>
          <w:bCs/>
        </w:rPr>
        <w:t xml:space="preserve">. </w:t>
      </w:r>
      <w:r w:rsidR="00F1067B">
        <w:rPr>
          <w:bCs/>
        </w:rPr>
        <w:t>Изразом „уз“ се не следи наведена сврха</w:t>
      </w:r>
      <w:r w:rsidR="00673277">
        <w:rPr>
          <w:bCs/>
        </w:rPr>
        <w:t>. Боље решење би могло бити</w:t>
      </w:r>
      <w:r w:rsidR="00904ABF" w:rsidRPr="006E4BB9">
        <w:rPr>
          <w:bCs/>
        </w:rPr>
        <w:t xml:space="preserve">: </w:t>
      </w:r>
      <w:r w:rsidR="00673277">
        <w:rPr>
          <w:bCs/>
        </w:rPr>
        <w:t>„</w:t>
      </w:r>
      <w:r w:rsidR="00673277">
        <w:rPr>
          <w:bCs/>
          <w:i/>
        </w:rPr>
        <w:t>у складу са овим законом“</w:t>
      </w:r>
      <w:r w:rsidR="00904ABF" w:rsidRPr="006E4BB9">
        <w:rPr>
          <w:bCs/>
          <w:i/>
        </w:rPr>
        <w:t>.</w:t>
      </w:r>
    </w:p>
    <w:p w14:paraId="2889285F" w14:textId="77777777" w:rsidR="00904ABF" w:rsidRPr="006E4BB9" w:rsidRDefault="00F1067B" w:rsidP="00904ABF">
      <w:pPr>
        <w:spacing w:before="160"/>
        <w:jc w:val="both"/>
        <w:rPr>
          <w:bCs/>
          <w:i/>
        </w:rPr>
      </w:pPr>
      <w:r>
        <w:rPr>
          <w:bCs/>
        </w:rPr>
        <w:t>Из истог разлога који је наведен у претходном коментару и став 2. такође</w:t>
      </w:r>
      <w:r w:rsidR="00904ABF" w:rsidRPr="006E4BB9">
        <w:rPr>
          <w:bCs/>
        </w:rPr>
        <w:t xml:space="preserve"> </w:t>
      </w:r>
      <w:r>
        <w:rPr>
          <w:bCs/>
        </w:rPr>
        <w:t xml:space="preserve">захтева разматрање у циљу могуће поновне процене, по могућству у складу са формулацијом која се користи у члану </w:t>
      </w:r>
      <w:r w:rsidR="00904ABF" w:rsidRPr="006E4BB9">
        <w:rPr>
          <w:bCs/>
        </w:rPr>
        <w:t>88</w:t>
      </w:r>
      <w:r>
        <w:rPr>
          <w:bCs/>
        </w:rPr>
        <w:t>. став</w:t>
      </w:r>
      <w:r w:rsidR="00904ABF" w:rsidRPr="006E4BB9">
        <w:rPr>
          <w:bCs/>
        </w:rPr>
        <w:t xml:space="preserve"> (2) </w:t>
      </w:r>
      <w:r w:rsidR="00CA510A" w:rsidRPr="006E4BB9">
        <w:rPr>
          <w:bCs/>
          <w:i/>
        </w:rPr>
        <w:t>GDPR</w:t>
      </w:r>
      <w:r>
        <w:rPr>
          <w:bCs/>
        </w:rPr>
        <w:t>: „</w:t>
      </w:r>
      <w:r w:rsidR="009C14B1">
        <w:rPr>
          <w:bCs/>
          <w:i/>
        </w:rPr>
        <w:t>Та правила укључују погодне и специфичне мере у циљу заштите људског достојанства, легитимних интереса и основних права лица на које се подаци односе, са посвећивањем посебне пажње транспарентности обраде, преносу података о личности у оквиру групе предузећа или групе предузећа која се баве неком заједничком привредном активношћу и системима надзора на радном месту</w:t>
      </w:r>
      <w:r w:rsidR="00904ABF" w:rsidRPr="006E4BB9">
        <w:rPr>
          <w:bCs/>
          <w:i/>
        </w:rPr>
        <w:t>.”</w:t>
      </w:r>
    </w:p>
    <w:p w14:paraId="30DE7CC9" w14:textId="77777777" w:rsidR="00904ABF" w:rsidRPr="006E4BB9" w:rsidRDefault="00F204B7" w:rsidP="00904ABF">
      <w:pPr>
        <w:spacing w:before="160"/>
        <w:jc w:val="both"/>
        <w:rPr>
          <w:bCs/>
        </w:rPr>
      </w:pPr>
      <w:r>
        <w:rPr>
          <w:bCs/>
        </w:rPr>
        <w:t xml:space="preserve">Такође би требало напоменути да члан </w:t>
      </w:r>
      <w:r w:rsidRPr="006E4BB9">
        <w:rPr>
          <w:bCs/>
        </w:rPr>
        <w:t>9</w:t>
      </w:r>
      <w:r>
        <w:rPr>
          <w:bCs/>
        </w:rPr>
        <w:t>1.</w:t>
      </w:r>
      <w:r w:rsidRPr="006E4BB9">
        <w:rPr>
          <w:bCs/>
        </w:rPr>
        <w:t xml:space="preserve"> </w:t>
      </w:r>
      <w:r>
        <w:rPr>
          <w:bCs/>
        </w:rPr>
        <w:t>не</w:t>
      </w:r>
      <w:r w:rsidRPr="006E4BB9">
        <w:rPr>
          <w:bCs/>
        </w:rPr>
        <w:t xml:space="preserve"> </w:t>
      </w:r>
      <w:r>
        <w:rPr>
          <w:bCs/>
        </w:rPr>
        <w:t>потпада под област примене обраде података о личности од стране надлежних органа у посебне сврхе, и да овај члан 91. не садржи навођење да се он не примењује на те типове обраде</w:t>
      </w:r>
      <w:r w:rsidR="00904ABF" w:rsidRPr="006E4BB9">
        <w:rPr>
          <w:bCs/>
        </w:rPr>
        <w:t>.</w:t>
      </w:r>
    </w:p>
    <w:p w14:paraId="6265EE4E" w14:textId="77777777" w:rsidR="00904ABF" w:rsidRPr="006E4BB9" w:rsidRDefault="00680FF8" w:rsidP="00904ABF">
      <w:pPr>
        <w:spacing w:before="160"/>
        <w:jc w:val="both"/>
        <w:rPr>
          <w:b/>
          <w:bCs/>
        </w:rPr>
      </w:pPr>
      <w:r>
        <w:rPr>
          <w:b/>
          <w:bCs/>
        </w:rPr>
        <w:t xml:space="preserve">Члан </w:t>
      </w:r>
      <w:r w:rsidR="00904ABF" w:rsidRPr="006E4BB9">
        <w:rPr>
          <w:b/>
          <w:bCs/>
        </w:rPr>
        <w:t>92:</w:t>
      </w:r>
    </w:p>
    <w:p w14:paraId="7B740484" w14:textId="1EE8F341" w:rsidR="00904ABF" w:rsidRPr="006E4BB9" w:rsidRDefault="00680FF8" w:rsidP="00904ABF">
      <w:pPr>
        <w:spacing w:before="160"/>
        <w:jc w:val="both"/>
        <w:rPr>
          <w:bCs/>
        </w:rPr>
      </w:pPr>
      <w:r>
        <w:rPr>
          <w:bCs/>
        </w:rPr>
        <w:t xml:space="preserve">Како је наведено у општим </w:t>
      </w:r>
      <w:r w:rsidR="00A4375C">
        <w:rPr>
          <w:bCs/>
        </w:rPr>
        <w:t>напоменама</w:t>
      </w:r>
      <w:r>
        <w:rPr>
          <w:bCs/>
        </w:rPr>
        <w:t xml:space="preserve">, неопходно је посебно уредити обраду података о личности на коју се упућује у члану </w:t>
      </w:r>
      <w:r w:rsidR="00904ABF" w:rsidRPr="006E4BB9">
        <w:rPr>
          <w:bCs/>
        </w:rPr>
        <w:t>92</w:t>
      </w:r>
      <w:r>
        <w:rPr>
          <w:bCs/>
        </w:rPr>
        <w:t>.</w:t>
      </w:r>
      <w:r w:rsidR="00904ABF" w:rsidRPr="006E4BB9">
        <w:rPr>
          <w:bCs/>
        </w:rPr>
        <w:t xml:space="preserve"> </w:t>
      </w:r>
      <w:r>
        <w:rPr>
          <w:bCs/>
        </w:rPr>
        <w:t xml:space="preserve">Да би се прецизирала ова област обраде података, упућивање би се могло </w:t>
      </w:r>
      <w:r w:rsidR="00F204B7">
        <w:rPr>
          <w:bCs/>
        </w:rPr>
        <w:t>дати на одређене правне прописе или области правних прописа у којима се спроводе оне заштитне мере које су предвиђене у овом члану</w:t>
      </w:r>
      <w:r w:rsidR="00904ABF" w:rsidRPr="006E4BB9">
        <w:rPr>
          <w:bCs/>
        </w:rPr>
        <w:t xml:space="preserve">. </w:t>
      </w:r>
      <w:r w:rsidR="00F204B7">
        <w:rPr>
          <w:bCs/>
        </w:rPr>
        <w:t>Наведена примедба није неопходна за усаглашавање са правним тековинама ЕУ, иако би се њиме олакшало коришћење овог члана у пракси</w:t>
      </w:r>
      <w:r w:rsidR="00904ABF" w:rsidRPr="006E4BB9">
        <w:rPr>
          <w:bCs/>
        </w:rPr>
        <w:t>.</w:t>
      </w:r>
    </w:p>
    <w:p w14:paraId="2CDE4885" w14:textId="77777777" w:rsidR="00904ABF" w:rsidRPr="006E4BB9" w:rsidRDefault="00F204B7" w:rsidP="00904ABF">
      <w:pPr>
        <w:spacing w:before="160"/>
        <w:jc w:val="both"/>
        <w:rPr>
          <w:bCs/>
        </w:rPr>
      </w:pPr>
      <w:r>
        <w:rPr>
          <w:bCs/>
        </w:rPr>
        <w:t xml:space="preserve">Такође би требало напоменути да члан </w:t>
      </w:r>
      <w:r w:rsidR="00904ABF" w:rsidRPr="006E4BB9">
        <w:rPr>
          <w:bCs/>
        </w:rPr>
        <w:t>92</w:t>
      </w:r>
      <w:r>
        <w:rPr>
          <w:bCs/>
        </w:rPr>
        <w:t>.</w:t>
      </w:r>
      <w:r w:rsidR="00904ABF" w:rsidRPr="006E4BB9">
        <w:rPr>
          <w:bCs/>
        </w:rPr>
        <w:t xml:space="preserve"> </w:t>
      </w:r>
      <w:r>
        <w:rPr>
          <w:bCs/>
        </w:rPr>
        <w:t>не</w:t>
      </w:r>
      <w:r w:rsidR="00904ABF" w:rsidRPr="006E4BB9">
        <w:rPr>
          <w:bCs/>
        </w:rPr>
        <w:t xml:space="preserve"> </w:t>
      </w:r>
      <w:r>
        <w:rPr>
          <w:bCs/>
        </w:rPr>
        <w:t>потпада под област примене обраде података о личности од стране надлежних органа у посебне сврхе, и да овај члан не садржи навођење да се он не примењује на те типове обраде</w:t>
      </w:r>
      <w:r w:rsidR="00904ABF" w:rsidRPr="006E4BB9">
        <w:rPr>
          <w:bCs/>
        </w:rPr>
        <w:t>.</w:t>
      </w:r>
    </w:p>
    <w:p w14:paraId="6690E6DD" w14:textId="77777777" w:rsidR="00904ABF" w:rsidRPr="006E4BB9" w:rsidRDefault="00C5109D" w:rsidP="00904ABF">
      <w:pPr>
        <w:spacing w:before="160"/>
        <w:jc w:val="both"/>
        <w:rPr>
          <w:b/>
          <w:bCs/>
        </w:rPr>
      </w:pPr>
      <w:r>
        <w:rPr>
          <w:b/>
          <w:bCs/>
        </w:rPr>
        <w:t>Члан</w:t>
      </w:r>
      <w:r w:rsidR="00904ABF" w:rsidRPr="006E4BB9">
        <w:rPr>
          <w:b/>
          <w:bCs/>
        </w:rPr>
        <w:t xml:space="preserve"> 94:</w:t>
      </w:r>
    </w:p>
    <w:p w14:paraId="5FF5903D" w14:textId="77777777" w:rsidR="00904ABF" w:rsidRPr="006E4BB9" w:rsidRDefault="00C5109D" w:rsidP="00904ABF">
      <w:pPr>
        <w:spacing w:before="120" w:after="0" w:line="240" w:lineRule="auto"/>
        <w:jc w:val="both"/>
        <w:rPr>
          <w:szCs w:val="24"/>
        </w:rPr>
      </w:pPr>
      <w:r>
        <w:rPr>
          <w:szCs w:val="24"/>
        </w:rPr>
        <w:t xml:space="preserve">Не постоји никакав посебан изузетак предвиђен </w:t>
      </w:r>
      <w:r w:rsidR="00CA510A" w:rsidRPr="006E4BB9">
        <w:rPr>
          <w:i/>
          <w:szCs w:val="24"/>
        </w:rPr>
        <w:t>GDPR</w:t>
      </w:r>
      <w:r w:rsidR="00904ABF" w:rsidRPr="006E4BB9">
        <w:rPr>
          <w:szCs w:val="24"/>
        </w:rPr>
        <w:t xml:space="preserve"> </w:t>
      </w:r>
      <w:r>
        <w:rPr>
          <w:szCs w:val="24"/>
        </w:rPr>
        <w:t>нити</w:t>
      </w:r>
      <w:r w:rsidR="00904ABF" w:rsidRPr="006E4BB9">
        <w:rPr>
          <w:szCs w:val="24"/>
        </w:rPr>
        <w:t xml:space="preserve"> </w:t>
      </w:r>
      <w:r w:rsidR="00CA510A" w:rsidRPr="00C5109D">
        <w:rPr>
          <w:i/>
          <w:szCs w:val="24"/>
        </w:rPr>
        <w:t>LED</w:t>
      </w:r>
      <w:r w:rsidR="00904ABF" w:rsidRPr="006E4BB9">
        <w:rPr>
          <w:szCs w:val="24"/>
        </w:rPr>
        <w:t xml:space="preserve"> </w:t>
      </w:r>
      <w:r>
        <w:rPr>
          <w:szCs w:val="24"/>
        </w:rPr>
        <w:t xml:space="preserve">за усвајање било каквог посебног режима у погледу обраде података о личности од стране </w:t>
      </w:r>
      <w:r w:rsidR="00344560">
        <w:rPr>
          <w:szCs w:val="24"/>
        </w:rPr>
        <w:t>јавних тела за св</w:t>
      </w:r>
      <w:r w:rsidR="00841515">
        <w:rPr>
          <w:szCs w:val="24"/>
        </w:rPr>
        <w:t>р</w:t>
      </w:r>
      <w:r w:rsidR="00344560">
        <w:rPr>
          <w:szCs w:val="24"/>
        </w:rPr>
        <w:t>х</w:t>
      </w:r>
      <w:r w:rsidR="00841515">
        <w:rPr>
          <w:szCs w:val="24"/>
        </w:rPr>
        <w:t>е</w:t>
      </w:r>
      <w:r w:rsidR="00344560">
        <w:rPr>
          <w:szCs w:val="24"/>
        </w:rPr>
        <w:t xml:space="preserve"> прикупљања средстава за хуманитарне сврхе</w:t>
      </w:r>
      <w:r w:rsidR="00904ABF" w:rsidRPr="006E4BB9">
        <w:rPr>
          <w:szCs w:val="24"/>
        </w:rPr>
        <w:t xml:space="preserve">. </w:t>
      </w:r>
    </w:p>
    <w:p w14:paraId="6AAB59D6" w14:textId="77777777" w:rsidR="00904ABF" w:rsidRPr="006E4BB9" w:rsidRDefault="00344560" w:rsidP="00904ABF">
      <w:pPr>
        <w:spacing w:before="120" w:after="0" w:line="240" w:lineRule="auto"/>
        <w:jc w:val="both"/>
        <w:rPr>
          <w:szCs w:val="24"/>
          <w:u w:val="single"/>
        </w:rPr>
      </w:pPr>
      <w:r>
        <w:rPr>
          <w:szCs w:val="24"/>
        </w:rPr>
        <w:t xml:space="preserve">У уводној изјави </w:t>
      </w:r>
      <w:r w:rsidR="00904ABF" w:rsidRPr="006E4BB9">
        <w:rPr>
          <w:szCs w:val="24"/>
        </w:rPr>
        <w:t>46</w:t>
      </w:r>
      <w:r>
        <w:rPr>
          <w:szCs w:val="24"/>
        </w:rPr>
        <w:t>.</w:t>
      </w:r>
      <w:r w:rsidR="00904ABF" w:rsidRPr="006E4BB9">
        <w:rPr>
          <w:szCs w:val="24"/>
        </w:rPr>
        <w:t xml:space="preserve"> </w:t>
      </w:r>
      <w:r w:rsidR="00CA510A" w:rsidRPr="006E4BB9">
        <w:rPr>
          <w:i/>
          <w:szCs w:val="24"/>
        </w:rPr>
        <w:t>GDPR</w:t>
      </w:r>
      <w:r>
        <w:rPr>
          <w:szCs w:val="24"/>
        </w:rPr>
        <w:t xml:space="preserve"> се наводи да </w:t>
      </w:r>
      <w:r>
        <w:rPr>
          <w:i/>
          <w:szCs w:val="24"/>
        </w:rPr>
        <w:t>се обрада сматра законитом у случајевима када је неопходно заштитити интерес који је од суштинске важности за живот лица на које се подаци односе или живот неког другог физичког лица</w:t>
      </w:r>
      <w:r w:rsidR="00904ABF" w:rsidRPr="006E4BB9">
        <w:rPr>
          <w:i/>
          <w:szCs w:val="24"/>
        </w:rPr>
        <w:t xml:space="preserve">. </w:t>
      </w:r>
      <w:r>
        <w:rPr>
          <w:i/>
          <w:szCs w:val="24"/>
        </w:rPr>
        <w:t xml:space="preserve">Обрада података о личности заснована </w:t>
      </w:r>
      <w:r>
        <w:rPr>
          <w:i/>
          <w:szCs w:val="24"/>
        </w:rPr>
        <w:lastRenderedPageBreak/>
        <w:t xml:space="preserve">на суштински важном интересу неког другог физичког лица треба у начелу да се одвија искључиво онда када обрада не може да буде очигледно заснована на некој другој правној основи. Неки типови обраде могу служити и за важну основу јавног интереса и за пресудно важне интересе лица на које се подаци односе, као на пример када је обрада података о личности неопходна у хуманитарне сврхе, укључујући за контролу епидемије и њеног ширења или у ситуацијама хуманитарних ванредних ситуација, нарочито у ситуацијама природних катастрофа и катастрофа које је изазвао људски фактор. </w:t>
      </w:r>
      <w:r>
        <w:rPr>
          <w:szCs w:val="24"/>
        </w:rPr>
        <w:t xml:space="preserve">Ако се има на уму наведена уводна изјава из </w:t>
      </w:r>
      <w:r w:rsidR="00CA510A" w:rsidRPr="006E4BB9">
        <w:rPr>
          <w:i/>
          <w:szCs w:val="24"/>
        </w:rPr>
        <w:t>GDPR</w:t>
      </w:r>
      <w:r w:rsidR="00904ABF" w:rsidRPr="006E4BB9">
        <w:rPr>
          <w:szCs w:val="24"/>
        </w:rPr>
        <w:t xml:space="preserve">, </w:t>
      </w:r>
      <w:r w:rsidR="00F54821">
        <w:rPr>
          <w:szCs w:val="24"/>
        </w:rPr>
        <w:t xml:space="preserve">прикупљање средстава за хуманитарне акције се не може сматрати истом сврхом као и обрада података о личности у хуманитарне сврхе које су наведене у уводној изјави </w:t>
      </w:r>
      <w:r w:rsidR="00904ABF" w:rsidRPr="006E4BB9">
        <w:rPr>
          <w:szCs w:val="24"/>
        </w:rPr>
        <w:t xml:space="preserve">46. </w:t>
      </w:r>
      <w:r w:rsidR="00F54821">
        <w:rPr>
          <w:szCs w:val="24"/>
          <w:u w:val="single"/>
        </w:rPr>
        <w:t>Општа одредба којом се омогућава коришћење података о личности од стране јавних тела за сврхе прикупљања средстава из члана</w:t>
      </w:r>
      <w:r w:rsidR="00904ABF" w:rsidRPr="006E4BB9">
        <w:rPr>
          <w:szCs w:val="24"/>
          <w:u w:val="single"/>
        </w:rPr>
        <w:t xml:space="preserve"> 94</w:t>
      </w:r>
      <w:r w:rsidR="00F54821">
        <w:rPr>
          <w:szCs w:val="24"/>
          <w:u w:val="single"/>
        </w:rPr>
        <w:t>.</w:t>
      </w:r>
      <w:r w:rsidR="00904ABF" w:rsidRPr="006E4BB9">
        <w:rPr>
          <w:szCs w:val="24"/>
          <w:u w:val="single"/>
        </w:rPr>
        <w:t xml:space="preserve"> </w:t>
      </w:r>
      <w:r w:rsidR="00F54821">
        <w:rPr>
          <w:szCs w:val="24"/>
          <w:u w:val="single"/>
        </w:rPr>
        <w:t xml:space="preserve">стога није у складу са захтевима за заштиту података о личности утврђеним у </w:t>
      </w:r>
      <w:r w:rsidR="00CA510A" w:rsidRPr="006E4BB9">
        <w:rPr>
          <w:i/>
          <w:szCs w:val="24"/>
          <w:u w:val="single"/>
        </w:rPr>
        <w:t>GDPR</w:t>
      </w:r>
      <w:r w:rsidR="00904ABF" w:rsidRPr="006E4BB9">
        <w:rPr>
          <w:szCs w:val="24"/>
          <w:u w:val="single"/>
        </w:rPr>
        <w:t xml:space="preserve"> </w:t>
      </w:r>
      <w:r w:rsidR="00F54821">
        <w:rPr>
          <w:szCs w:val="24"/>
          <w:u w:val="single"/>
        </w:rPr>
        <w:t>или у</w:t>
      </w:r>
      <w:r w:rsidR="00904ABF" w:rsidRPr="006E4BB9">
        <w:rPr>
          <w:szCs w:val="24"/>
          <w:u w:val="single"/>
        </w:rPr>
        <w:t xml:space="preserve"> </w:t>
      </w:r>
      <w:r w:rsidR="00CA510A" w:rsidRPr="00F54821">
        <w:rPr>
          <w:i/>
          <w:szCs w:val="24"/>
          <w:u w:val="single"/>
        </w:rPr>
        <w:t>LED</w:t>
      </w:r>
      <w:r w:rsidR="00904ABF" w:rsidRPr="006E4BB9">
        <w:rPr>
          <w:szCs w:val="24"/>
          <w:u w:val="single"/>
        </w:rPr>
        <w:t xml:space="preserve">. </w:t>
      </w:r>
      <w:r w:rsidR="00F54821">
        <w:rPr>
          <w:szCs w:val="24"/>
          <w:u w:val="single"/>
        </w:rPr>
        <w:t>Овај члан Закона би био у складу са</w:t>
      </w:r>
      <w:r w:rsidR="00904ABF" w:rsidRPr="006E4BB9">
        <w:rPr>
          <w:szCs w:val="24"/>
          <w:u w:val="single"/>
        </w:rPr>
        <w:t xml:space="preserve"> </w:t>
      </w:r>
      <w:r w:rsidR="00CA510A" w:rsidRPr="006E4BB9">
        <w:rPr>
          <w:i/>
          <w:szCs w:val="24"/>
          <w:u w:val="single"/>
        </w:rPr>
        <w:t>GDPR</w:t>
      </w:r>
      <w:r w:rsidR="00904ABF" w:rsidRPr="006E4BB9">
        <w:rPr>
          <w:szCs w:val="24"/>
          <w:u w:val="single"/>
        </w:rPr>
        <w:t xml:space="preserve"> </w:t>
      </w:r>
      <w:r w:rsidR="00F54821">
        <w:rPr>
          <w:szCs w:val="24"/>
          <w:u w:val="single"/>
        </w:rPr>
        <w:t xml:space="preserve">када би се односио на коришћење података за сврхе наведене у уводној изјави </w:t>
      </w:r>
      <w:r w:rsidR="00904ABF" w:rsidRPr="006E4BB9">
        <w:rPr>
          <w:szCs w:val="24"/>
          <w:u w:val="single"/>
        </w:rPr>
        <w:t xml:space="preserve">46 </w:t>
      </w:r>
      <w:r w:rsidR="00CA510A" w:rsidRPr="006E4BB9">
        <w:rPr>
          <w:i/>
          <w:szCs w:val="24"/>
          <w:u w:val="single"/>
        </w:rPr>
        <w:t>GDPR</w:t>
      </w:r>
      <w:r w:rsidR="00904ABF" w:rsidRPr="006E4BB9">
        <w:rPr>
          <w:szCs w:val="24"/>
          <w:u w:val="single"/>
        </w:rPr>
        <w:t>.</w:t>
      </w:r>
    </w:p>
    <w:p w14:paraId="4AA2533D" w14:textId="77777777" w:rsidR="00904ABF" w:rsidRPr="006E4BB9" w:rsidRDefault="00904ABF" w:rsidP="00904ABF">
      <w:pPr>
        <w:spacing w:before="120" w:after="0" w:line="240" w:lineRule="auto"/>
        <w:jc w:val="both"/>
        <w:rPr>
          <w:szCs w:val="24"/>
          <w:u w:val="single"/>
        </w:rPr>
      </w:pPr>
    </w:p>
    <w:p w14:paraId="50602599" w14:textId="77777777" w:rsidR="00904ABF" w:rsidRPr="006E4BB9" w:rsidRDefault="00A71239" w:rsidP="00904ABF">
      <w:pPr>
        <w:jc w:val="both"/>
        <w:rPr>
          <w:b/>
          <w:bCs/>
        </w:rPr>
      </w:pPr>
      <w:r>
        <w:rPr>
          <w:b/>
          <w:bCs/>
        </w:rPr>
        <w:t>X. КАЗНЕНЕ ОДРЕДБЕ</w:t>
      </w:r>
    </w:p>
    <w:p w14:paraId="138F41A4" w14:textId="77777777" w:rsidR="00904ABF" w:rsidRPr="006E4BB9" w:rsidRDefault="00A71239" w:rsidP="00904ABF">
      <w:pPr>
        <w:jc w:val="both"/>
        <w:rPr>
          <w:b/>
          <w:bCs/>
        </w:rPr>
      </w:pPr>
      <w:r>
        <w:rPr>
          <w:b/>
          <w:bCs/>
        </w:rPr>
        <w:t>Члан</w:t>
      </w:r>
      <w:r w:rsidR="00904ABF" w:rsidRPr="006E4BB9">
        <w:rPr>
          <w:b/>
          <w:bCs/>
        </w:rPr>
        <w:t xml:space="preserve"> 95:</w:t>
      </w:r>
    </w:p>
    <w:p w14:paraId="79D5E8FF" w14:textId="77777777" w:rsidR="00904ABF" w:rsidRPr="006E4BB9" w:rsidRDefault="00A71239" w:rsidP="00904ABF">
      <w:pPr>
        <w:jc w:val="both"/>
        <w:rPr>
          <w:szCs w:val="24"/>
        </w:rPr>
      </w:pPr>
      <w:r>
        <w:rPr>
          <w:szCs w:val="24"/>
        </w:rPr>
        <w:t>Недостају санкције за неколико одредби овог Закона, укључујући за обраду без правне основе</w:t>
      </w:r>
      <w:r w:rsidR="00904ABF" w:rsidRPr="006E4BB9">
        <w:rPr>
          <w:szCs w:val="24"/>
        </w:rPr>
        <w:t xml:space="preserve"> (</w:t>
      </w:r>
      <w:r>
        <w:rPr>
          <w:szCs w:val="24"/>
        </w:rPr>
        <w:t>члан</w:t>
      </w:r>
      <w:r w:rsidR="00904ABF" w:rsidRPr="006E4BB9">
        <w:rPr>
          <w:szCs w:val="24"/>
        </w:rPr>
        <w:t xml:space="preserve"> 12</w:t>
      </w:r>
      <w:r>
        <w:rPr>
          <w:szCs w:val="24"/>
        </w:rPr>
        <w:t>. овог</w:t>
      </w:r>
      <w:r w:rsidR="00904ABF" w:rsidRPr="006E4BB9">
        <w:rPr>
          <w:szCs w:val="24"/>
        </w:rPr>
        <w:t xml:space="preserve"> </w:t>
      </w:r>
      <w:r>
        <w:rPr>
          <w:szCs w:val="24"/>
        </w:rPr>
        <w:t>Закона</w:t>
      </w:r>
      <w:r w:rsidR="00904ABF" w:rsidRPr="006E4BB9">
        <w:rPr>
          <w:szCs w:val="24"/>
        </w:rPr>
        <w:t xml:space="preserve">), </w:t>
      </w:r>
      <w:r>
        <w:rPr>
          <w:szCs w:val="24"/>
        </w:rPr>
        <w:t>која се према</w:t>
      </w:r>
      <w:r w:rsidRPr="00A71239">
        <w:rPr>
          <w:i/>
          <w:szCs w:val="24"/>
        </w:rPr>
        <w:t xml:space="preserve"> </w:t>
      </w:r>
      <w:r w:rsidRPr="006E4BB9">
        <w:rPr>
          <w:i/>
          <w:szCs w:val="24"/>
        </w:rPr>
        <w:t>GDPR</w:t>
      </w:r>
      <w:r>
        <w:rPr>
          <w:i/>
          <w:szCs w:val="24"/>
        </w:rPr>
        <w:t xml:space="preserve"> </w:t>
      </w:r>
      <w:r>
        <w:rPr>
          <w:szCs w:val="24"/>
        </w:rPr>
        <w:t xml:space="preserve"> сматра озбиљном повредом и таквом се обрадом података о личности подривају саме основе правила зашт</w:t>
      </w:r>
      <w:r w:rsidR="00C5109D">
        <w:rPr>
          <w:szCs w:val="24"/>
        </w:rPr>
        <w:t>и</w:t>
      </w:r>
      <w:r>
        <w:rPr>
          <w:szCs w:val="24"/>
        </w:rPr>
        <w:t>те података о личности. Санкције су предвиђене само за обраду на основу неважећег пристанка</w:t>
      </w:r>
      <w:r w:rsidR="00904ABF" w:rsidRPr="006E4BB9">
        <w:rPr>
          <w:szCs w:val="24"/>
        </w:rPr>
        <w:t xml:space="preserve"> (</w:t>
      </w:r>
      <w:r>
        <w:rPr>
          <w:szCs w:val="24"/>
        </w:rPr>
        <w:t>члан</w:t>
      </w:r>
      <w:r w:rsidR="00904ABF" w:rsidRPr="006E4BB9">
        <w:rPr>
          <w:szCs w:val="24"/>
        </w:rPr>
        <w:t xml:space="preserve"> 15</w:t>
      </w:r>
      <w:r>
        <w:rPr>
          <w:szCs w:val="24"/>
        </w:rPr>
        <w:t>.</w:t>
      </w:r>
      <w:r w:rsidR="00904ABF" w:rsidRPr="006E4BB9">
        <w:rPr>
          <w:szCs w:val="24"/>
        </w:rPr>
        <w:t xml:space="preserve">), </w:t>
      </w:r>
      <w:r w:rsidR="00C5109D">
        <w:rPr>
          <w:szCs w:val="24"/>
        </w:rPr>
        <w:t>што не обухвата обим могућих правних основа за обраду</w:t>
      </w:r>
      <w:r w:rsidR="00904ABF" w:rsidRPr="006E4BB9">
        <w:rPr>
          <w:szCs w:val="24"/>
        </w:rPr>
        <w:t xml:space="preserve">. </w:t>
      </w:r>
      <w:r w:rsidR="00C5109D">
        <w:rPr>
          <w:szCs w:val="24"/>
        </w:rPr>
        <w:t xml:space="preserve">Осим тога, санкција за повреду члана </w:t>
      </w:r>
      <w:r w:rsidR="00904ABF" w:rsidRPr="006E4BB9">
        <w:rPr>
          <w:szCs w:val="24"/>
        </w:rPr>
        <w:t>15</w:t>
      </w:r>
      <w:r w:rsidR="00C5109D">
        <w:rPr>
          <w:szCs w:val="24"/>
        </w:rPr>
        <w:t>.</w:t>
      </w:r>
      <w:r w:rsidR="00904ABF" w:rsidRPr="006E4BB9">
        <w:rPr>
          <w:szCs w:val="24"/>
        </w:rPr>
        <w:t xml:space="preserve"> (</w:t>
      </w:r>
      <w:r w:rsidR="00C5109D">
        <w:rPr>
          <w:szCs w:val="24"/>
        </w:rPr>
        <w:t>услови за давање пристанка</w:t>
      </w:r>
      <w:r w:rsidR="00904ABF" w:rsidRPr="006E4BB9">
        <w:rPr>
          <w:szCs w:val="24"/>
        </w:rPr>
        <w:t xml:space="preserve">) </w:t>
      </w:r>
      <w:r w:rsidR="00C5109D">
        <w:rPr>
          <w:szCs w:val="24"/>
        </w:rPr>
        <w:t>по нашем мишљењу није на одговарајући начин уређена</w:t>
      </w:r>
      <w:r w:rsidR="00904ABF" w:rsidRPr="006E4BB9">
        <w:rPr>
          <w:szCs w:val="24"/>
        </w:rPr>
        <w:t xml:space="preserve"> (</w:t>
      </w:r>
      <w:r w:rsidR="00C5109D">
        <w:rPr>
          <w:szCs w:val="24"/>
        </w:rPr>
        <w:t>видети наредни став</w:t>
      </w:r>
      <w:r w:rsidR="00904ABF" w:rsidRPr="006E4BB9">
        <w:rPr>
          <w:szCs w:val="24"/>
        </w:rPr>
        <w:t>).</w:t>
      </w:r>
    </w:p>
    <w:p w14:paraId="1E58763A" w14:textId="77777777" w:rsidR="000E4480" w:rsidRDefault="00392F0E" w:rsidP="00904ABF">
      <w:pPr>
        <w:jc w:val="both"/>
        <w:rPr>
          <w:szCs w:val="24"/>
        </w:rPr>
      </w:pPr>
      <w:r>
        <w:rPr>
          <w:szCs w:val="24"/>
        </w:rPr>
        <w:t xml:space="preserve">У ставу </w:t>
      </w:r>
      <w:r w:rsidR="00904ABF" w:rsidRPr="006E4BB9">
        <w:rPr>
          <w:szCs w:val="24"/>
        </w:rPr>
        <w:t>1</w:t>
      </w:r>
      <w:r>
        <w:rPr>
          <w:szCs w:val="24"/>
        </w:rPr>
        <w:t xml:space="preserve">. ставка </w:t>
      </w:r>
      <w:r w:rsidR="00904ABF" w:rsidRPr="006E4BB9">
        <w:rPr>
          <w:szCs w:val="24"/>
        </w:rPr>
        <w:t xml:space="preserve">5) </w:t>
      </w:r>
      <w:r>
        <w:rPr>
          <w:szCs w:val="24"/>
        </w:rPr>
        <w:t xml:space="preserve">се упућује на члан </w:t>
      </w:r>
      <w:r w:rsidR="00904ABF" w:rsidRPr="006E4BB9">
        <w:rPr>
          <w:szCs w:val="24"/>
        </w:rPr>
        <w:t>15</w:t>
      </w:r>
      <w:r>
        <w:rPr>
          <w:szCs w:val="24"/>
        </w:rPr>
        <w:t>. овог</w:t>
      </w:r>
      <w:r w:rsidR="00904ABF" w:rsidRPr="006E4BB9">
        <w:rPr>
          <w:szCs w:val="24"/>
        </w:rPr>
        <w:t xml:space="preserve"> </w:t>
      </w:r>
      <w:r>
        <w:rPr>
          <w:szCs w:val="24"/>
        </w:rPr>
        <w:t>Закона који описује услове за важећи пристанак. Начин на који је казнена одредба срочена</w:t>
      </w:r>
      <w:r w:rsidR="00904ABF" w:rsidRPr="006E4BB9">
        <w:rPr>
          <w:szCs w:val="24"/>
        </w:rPr>
        <w:t xml:space="preserve"> (</w:t>
      </w:r>
      <w:r>
        <w:rPr>
          <w:szCs w:val="24"/>
        </w:rPr>
        <w:t>члан</w:t>
      </w:r>
      <w:r w:rsidR="00904ABF" w:rsidRPr="006E4BB9">
        <w:rPr>
          <w:szCs w:val="24"/>
        </w:rPr>
        <w:t xml:space="preserve"> 95</w:t>
      </w:r>
      <w:r>
        <w:rPr>
          <w:szCs w:val="24"/>
        </w:rPr>
        <w:t>.</w:t>
      </w:r>
      <w:r w:rsidR="00904ABF" w:rsidRPr="006E4BB9">
        <w:rPr>
          <w:szCs w:val="24"/>
        </w:rPr>
        <w:t xml:space="preserve"> </w:t>
      </w:r>
      <w:r>
        <w:rPr>
          <w:szCs w:val="24"/>
        </w:rPr>
        <w:t>став</w:t>
      </w:r>
      <w:r w:rsidR="00904ABF" w:rsidRPr="006E4BB9">
        <w:rPr>
          <w:szCs w:val="24"/>
        </w:rPr>
        <w:t xml:space="preserve"> 1</w:t>
      </w:r>
      <w:r>
        <w:rPr>
          <w:szCs w:val="24"/>
        </w:rPr>
        <w:t>.</w:t>
      </w:r>
      <w:r w:rsidR="00904ABF" w:rsidRPr="006E4BB9">
        <w:rPr>
          <w:szCs w:val="24"/>
        </w:rPr>
        <w:t xml:space="preserve"> </w:t>
      </w:r>
      <w:r>
        <w:rPr>
          <w:szCs w:val="24"/>
        </w:rPr>
        <w:t xml:space="preserve">ставка </w:t>
      </w:r>
      <w:r w:rsidR="00904ABF" w:rsidRPr="006E4BB9">
        <w:rPr>
          <w:szCs w:val="24"/>
        </w:rPr>
        <w:t xml:space="preserve">5) </w:t>
      </w:r>
      <w:r>
        <w:rPr>
          <w:szCs w:val="24"/>
        </w:rPr>
        <w:t xml:space="preserve">не решава на одговарајући начин сврху члана </w:t>
      </w:r>
      <w:r w:rsidR="00904ABF" w:rsidRPr="006E4BB9">
        <w:rPr>
          <w:szCs w:val="24"/>
        </w:rPr>
        <w:t xml:space="preserve">15. </w:t>
      </w:r>
      <w:r>
        <w:rPr>
          <w:szCs w:val="24"/>
        </w:rPr>
        <w:t>Намера члана</w:t>
      </w:r>
      <w:r w:rsidR="00904ABF" w:rsidRPr="006E4BB9">
        <w:rPr>
          <w:szCs w:val="24"/>
        </w:rPr>
        <w:t xml:space="preserve"> 15</w:t>
      </w:r>
      <w:r>
        <w:rPr>
          <w:szCs w:val="24"/>
        </w:rPr>
        <w:t>. Закона је да се успоставе услови за важећи пристанак. Ако је законодавац желео да учини ситуацију из члана инкриминишућом</w:t>
      </w:r>
      <w:r w:rsidR="00904ABF" w:rsidRPr="006E4BB9">
        <w:rPr>
          <w:szCs w:val="24"/>
        </w:rPr>
        <w:t>,</w:t>
      </w:r>
      <w:r w:rsidR="000E4480">
        <w:rPr>
          <w:szCs w:val="24"/>
        </w:rPr>
        <w:t xml:space="preserve"> онда ова сврха мора бити јасно наведена у казненој одредби. Одредбом као што је на пример</w:t>
      </w:r>
      <w:r w:rsidR="00904ABF" w:rsidRPr="006E4BB9">
        <w:rPr>
          <w:szCs w:val="24"/>
        </w:rPr>
        <w:t>:</w:t>
      </w:r>
      <w:r w:rsidR="00904ABF" w:rsidRPr="006E4BB9">
        <w:t xml:space="preserve"> </w:t>
      </w:r>
      <w:r w:rsidR="000E4480">
        <w:t>„</w:t>
      </w:r>
      <w:r w:rsidR="000E4480">
        <w:rPr>
          <w:i/>
        </w:rPr>
        <w:t xml:space="preserve">…ако он обрађује податке о личности, на основу пристанка лица на које се подаци односе који не испуњава захтеве законитог пристанка у складу са овим законом </w:t>
      </w:r>
      <w:r w:rsidR="00904ABF" w:rsidRPr="006E4BB9">
        <w:rPr>
          <w:i/>
          <w:szCs w:val="24"/>
        </w:rPr>
        <w:t>(</w:t>
      </w:r>
      <w:r w:rsidR="000E4480">
        <w:rPr>
          <w:i/>
          <w:szCs w:val="24"/>
        </w:rPr>
        <w:t>члан</w:t>
      </w:r>
      <w:r w:rsidR="00904ABF" w:rsidRPr="006E4BB9">
        <w:rPr>
          <w:i/>
          <w:szCs w:val="24"/>
        </w:rPr>
        <w:t xml:space="preserve"> 15</w:t>
      </w:r>
      <w:r w:rsidR="000E4480">
        <w:rPr>
          <w:i/>
          <w:szCs w:val="24"/>
        </w:rPr>
        <w:t>.</w:t>
      </w:r>
      <w:r w:rsidR="00904ABF" w:rsidRPr="006E4BB9">
        <w:rPr>
          <w:szCs w:val="24"/>
        </w:rPr>
        <w:t>)</w:t>
      </w:r>
      <w:r w:rsidR="000E4480">
        <w:rPr>
          <w:szCs w:val="24"/>
        </w:rPr>
        <w:t>“</w:t>
      </w:r>
      <w:r w:rsidR="00904ABF" w:rsidRPr="006E4BB9">
        <w:rPr>
          <w:szCs w:val="24"/>
        </w:rPr>
        <w:t xml:space="preserve">, </w:t>
      </w:r>
      <w:r w:rsidR="000E4480">
        <w:rPr>
          <w:szCs w:val="24"/>
        </w:rPr>
        <w:t>или неком другом сличном одредбом би се боље решило овог питање</w:t>
      </w:r>
      <w:r w:rsidR="00904ABF" w:rsidRPr="006E4BB9">
        <w:rPr>
          <w:szCs w:val="24"/>
        </w:rPr>
        <w:t>.</w:t>
      </w:r>
      <w:r w:rsidR="000E4480">
        <w:rPr>
          <w:szCs w:val="24"/>
        </w:rPr>
        <w:t xml:space="preserve"> </w:t>
      </w:r>
    </w:p>
    <w:p w14:paraId="42BC3EA6" w14:textId="77777777" w:rsidR="00904ABF" w:rsidRPr="006E4BB9" w:rsidRDefault="00904ABF" w:rsidP="00904ABF">
      <w:pPr>
        <w:jc w:val="both"/>
        <w:rPr>
          <w:b/>
          <w:bCs/>
        </w:rPr>
      </w:pPr>
      <w:r w:rsidRPr="006E4BB9">
        <w:br w:type="page"/>
      </w:r>
    </w:p>
    <w:p w14:paraId="4ABC4D41" w14:textId="77777777" w:rsidR="00904ABF" w:rsidRPr="006E4BB9" w:rsidRDefault="00904ABF" w:rsidP="00904ABF">
      <w:pPr>
        <w:pBdr>
          <w:bottom w:val="single" w:sz="4" w:space="1" w:color="auto"/>
        </w:pBdr>
        <w:spacing w:before="240" w:after="200" w:line="240" w:lineRule="auto"/>
        <w:jc w:val="both"/>
        <w:rPr>
          <w:b/>
          <w:bCs/>
        </w:rPr>
      </w:pPr>
    </w:p>
    <w:p w14:paraId="34ECA67B" w14:textId="77777777" w:rsidR="00904ABF" w:rsidRPr="006E4BB9" w:rsidRDefault="00964317" w:rsidP="00904ABF">
      <w:pPr>
        <w:spacing w:before="240" w:after="200" w:line="240" w:lineRule="auto"/>
        <w:jc w:val="both"/>
        <w:rPr>
          <w:b/>
          <w:bCs/>
        </w:rPr>
      </w:pPr>
      <w:r>
        <w:rPr>
          <w:b/>
          <w:bCs/>
        </w:rPr>
        <w:t>САЖЕТИ ПРЕГЛЕД</w:t>
      </w:r>
    </w:p>
    <w:p w14:paraId="75BB9DCA" w14:textId="77777777" w:rsidR="00904ABF" w:rsidRPr="006E4BB9" w:rsidRDefault="00964317" w:rsidP="00904ABF">
      <w:pPr>
        <w:jc w:val="both"/>
        <w:rPr>
          <w:rFonts w:cs="Calibri"/>
          <w:b/>
        </w:rPr>
      </w:pPr>
      <w:r>
        <w:rPr>
          <w:rFonts w:cs="Calibri"/>
          <w:b/>
        </w:rPr>
        <w:t>Постоји потреба да се размотри измена Закона о заштити података о личности Републике Србије. У наставку су укратко наведена нека од питања која је потребно додатно испитати и поново размотрити</w:t>
      </w:r>
      <w:r w:rsidR="00904ABF" w:rsidRPr="006E4BB9">
        <w:rPr>
          <w:rFonts w:cs="Calibri"/>
          <w:b/>
        </w:rPr>
        <w:t>.</w:t>
      </w:r>
    </w:p>
    <w:p w14:paraId="39A137CF" w14:textId="77777777" w:rsidR="00904ABF" w:rsidRPr="006E4BB9" w:rsidRDefault="00CC178C" w:rsidP="00904ABF">
      <w:pPr>
        <w:jc w:val="both"/>
        <w:rPr>
          <w:rFonts w:cs="Calibri"/>
          <w:b/>
        </w:rPr>
      </w:pPr>
      <w:r>
        <w:rPr>
          <w:rFonts w:cs="Calibri"/>
          <w:b/>
        </w:rPr>
        <w:t xml:space="preserve">СПРОВОЂЕЊЕ </w:t>
      </w:r>
      <w:r w:rsidR="00CA510A" w:rsidRPr="00CC178C">
        <w:rPr>
          <w:rFonts w:cs="Calibri"/>
          <w:b/>
          <w:i/>
        </w:rPr>
        <w:t>LED</w:t>
      </w:r>
      <w:r w:rsidR="00904ABF" w:rsidRPr="006E4BB9">
        <w:rPr>
          <w:rFonts w:cs="Calibri"/>
          <w:b/>
        </w:rPr>
        <w:t>:</w:t>
      </w:r>
    </w:p>
    <w:p w14:paraId="78E6C98D" w14:textId="596653D6" w:rsidR="00DB1025" w:rsidRPr="006E4BB9" w:rsidRDefault="00CC178C" w:rsidP="00904ABF">
      <w:pPr>
        <w:jc w:val="both"/>
        <w:rPr>
          <w:szCs w:val="24"/>
        </w:rPr>
      </w:pPr>
      <w:r>
        <w:rPr>
          <w:szCs w:val="24"/>
        </w:rPr>
        <w:t xml:space="preserve">Одредбе којима се уређује обрада од стране надлежних органа </w:t>
      </w:r>
      <w:r w:rsidR="009B292D">
        <w:rPr>
          <w:szCs w:val="24"/>
        </w:rPr>
        <w:t xml:space="preserve">у </w:t>
      </w:r>
      <w:r>
        <w:rPr>
          <w:szCs w:val="24"/>
        </w:rPr>
        <w:t>сврхе спречавања, истраге</w:t>
      </w:r>
      <w:r w:rsidR="009B292D">
        <w:rPr>
          <w:szCs w:val="24"/>
        </w:rPr>
        <w:t xml:space="preserve"> и откривања кривичнх дела, гоњења учинилаца кривичних дела или</w:t>
      </w:r>
      <w:r>
        <w:rPr>
          <w:szCs w:val="24"/>
        </w:rPr>
        <w:t xml:space="preserve"> или извршења кривичних санкција, укључујући спречавање и заштиту од претњи по јавну и националну безбедност (у даљем тексту: „обрада у посебне сврхе“</w:t>
      </w:r>
      <w:r w:rsidR="00904ABF" w:rsidRPr="006E4BB9">
        <w:rPr>
          <w:szCs w:val="24"/>
        </w:rPr>
        <w:t xml:space="preserve">) </w:t>
      </w:r>
      <w:r>
        <w:rPr>
          <w:szCs w:val="24"/>
        </w:rPr>
        <w:t>су разбацане по свим деловима Закона, што чини да га је тешко читати и разумети његов циљ и сврху.</w:t>
      </w:r>
      <w:r w:rsidR="00904ABF" w:rsidRPr="006E4BB9">
        <w:rPr>
          <w:szCs w:val="24"/>
        </w:rPr>
        <w:t xml:space="preserve"> </w:t>
      </w:r>
      <w:r>
        <w:rPr>
          <w:szCs w:val="24"/>
        </w:rPr>
        <w:t xml:space="preserve">Не постоји јасно навођење питања обима његове примене у погледу примене </w:t>
      </w:r>
      <w:r w:rsidR="00CA510A" w:rsidRPr="00CC178C">
        <w:rPr>
          <w:i/>
          <w:szCs w:val="24"/>
        </w:rPr>
        <w:t>LED</w:t>
      </w:r>
      <w:r w:rsidR="00904ABF" w:rsidRPr="006E4BB9">
        <w:rPr>
          <w:szCs w:val="24"/>
        </w:rPr>
        <w:t xml:space="preserve">. </w:t>
      </w:r>
      <w:r>
        <w:rPr>
          <w:szCs w:val="24"/>
        </w:rPr>
        <w:t>Наша је сугестија да Закон треба да буде јасан и прецизан у утврђивању да обрада од стране надлежних органа која се врши за свр</w:t>
      </w:r>
      <w:r w:rsidR="00C5109D">
        <w:rPr>
          <w:szCs w:val="24"/>
        </w:rPr>
        <w:t>х</w:t>
      </w:r>
      <w:r>
        <w:rPr>
          <w:szCs w:val="24"/>
        </w:rPr>
        <w:t>е које нису посебне сврхе (спречавање</w:t>
      </w:r>
      <w:r w:rsidR="00950D36">
        <w:rPr>
          <w:szCs w:val="24"/>
        </w:rPr>
        <w:t>,</w:t>
      </w:r>
      <w:r>
        <w:rPr>
          <w:szCs w:val="24"/>
        </w:rPr>
        <w:t xml:space="preserve"> истрага</w:t>
      </w:r>
      <w:r w:rsidR="00950D36">
        <w:rPr>
          <w:szCs w:val="24"/>
        </w:rPr>
        <w:t xml:space="preserve"> и</w:t>
      </w:r>
      <w:r>
        <w:rPr>
          <w:szCs w:val="24"/>
        </w:rPr>
        <w:t xml:space="preserve"> откривање </w:t>
      </w:r>
      <w:r w:rsidR="00950D36">
        <w:rPr>
          <w:szCs w:val="24"/>
        </w:rPr>
        <w:t>кривичних дела, гоњење учинилаца кривичних дела</w:t>
      </w:r>
      <w:r>
        <w:rPr>
          <w:szCs w:val="24"/>
        </w:rPr>
        <w:t xml:space="preserve"> или извршење кривичних санкција, укључујући заштитне мере од и спречавање претњи по јавну и националну безбедност</w:t>
      </w:r>
      <w:r w:rsidR="00964317">
        <w:rPr>
          <w:szCs w:val="24"/>
        </w:rPr>
        <w:t>) такође потпада под област примене овог Закона и да је уређена</w:t>
      </w:r>
      <w:r w:rsidR="00904ABF" w:rsidRPr="006E4BB9">
        <w:rPr>
          <w:szCs w:val="24"/>
        </w:rPr>
        <w:t xml:space="preserve"> (</w:t>
      </w:r>
      <w:r w:rsidR="00964317">
        <w:rPr>
          <w:szCs w:val="24"/>
        </w:rPr>
        <w:t>општ</w:t>
      </w:r>
      <w:r w:rsidR="00C5109D">
        <w:rPr>
          <w:szCs w:val="24"/>
        </w:rPr>
        <w:t>и</w:t>
      </w:r>
      <w:r w:rsidR="00964317">
        <w:rPr>
          <w:szCs w:val="24"/>
        </w:rPr>
        <w:t>м</w:t>
      </w:r>
      <w:r w:rsidR="00904ABF" w:rsidRPr="006E4BB9">
        <w:rPr>
          <w:szCs w:val="24"/>
        </w:rPr>
        <w:t xml:space="preserve">) </w:t>
      </w:r>
      <w:r w:rsidR="00964317">
        <w:rPr>
          <w:szCs w:val="24"/>
        </w:rPr>
        <w:t>одредбама овог Закона. Такво решење би, по нашем мишљењу, значајно допринело правној јасноћи и извесности Закона и правној сигурности лица на која се подаци односе</w:t>
      </w:r>
      <w:r w:rsidR="00904ABF" w:rsidRPr="006E4BB9">
        <w:rPr>
          <w:szCs w:val="24"/>
        </w:rPr>
        <w:t>.</w:t>
      </w:r>
      <w:r w:rsidR="00DB1025" w:rsidRPr="006E4BB9">
        <w:rPr>
          <w:szCs w:val="24"/>
        </w:rPr>
        <w:t xml:space="preserve"> </w:t>
      </w:r>
      <w:r w:rsidR="00964317">
        <w:rPr>
          <w:szCs w:val="24"/>
        </w:rPr>
        <w:t>Законом осим тога треба предвидети критеријуме за ограничења складиштења</w:t>
      </w:r>
      <w:r w:rsidR="00DB1025" w:rsidRPr="006E4BB9">
        <w:rPr>
          <w:szCs w:val="24"/>
        </w:rPr>
        <w:t xml:space="preserve"> (</w:t>
      </w:r>
      <w:r w:rsidR="00964317">
        <w:rPr>
          <w:szCs w:val="24"/>
        </w:rPr>
        <w:t xml:space="preserve">добро обратити пажњу на коментар на члан </w:t>
      </w:r>
      <w:r w:rsidR="00DB1025" w:rsidRPr="006E4BB9">
        <w:rPr>
          <w:szCs w:val="24"/>
        </w:rPr>
        <w:t>8</w:t>
      </w:r>
      <w:r w:rsidR="00964317">
        <w:rPr>
          <w:szCs w:val="24"/>
        </w:rPr>
        <w:t>.</w:t>
      </w:r>
      <w:r w:rsidR="00DB1025" w:rsidRPr="006E4BB9">
        <w:rPr>
          <w:szCs w:val="24"/>
        </w:rPr>
        <w:t xml:space="preserve">). </w:t>
      </w:r>
    </w:p>
    <w:p w14:paraId="48CF1FC2" w14:textId="45AB2D08" w:rsidR="00904ABF" w:rsidRPr="006E4BB9" w:rsidRDefault="00CC178C" w:rsidP="00904ABF">
      <w:pPr>
        <w:jc w:val="both"/>
        <w:rPr>
          <w:szCs w:val="24"/>
        </w:rPr>
      </w:pPr>
      <w:r>
        <w:rPr>
          <w:rFonts w:cs="Calibri"/>
          <w:b/>
        </w:rPr>
        <w:t>ОГРАНИЧЕЊА ПРАВА ЛИЦА НА КОЈА СЕ ПОДАЦИ ОДНОСЕ</w:t>
      </w:r>
      <w:r w:rsidR="00904ABF" w:rsidRPr="006E4BB9">
        <w:rPr>
          <w:rFonts w:cs="Calibri"/>
          <w:sz w:val="20"/>
          <w:szCs w:val="20"/>
        </w:rPr>
        <w:t xml:space="preserve"> </w:t>
      </w:r>
      <w:r>
        <w:rPr>
          <w:szCs w:val="24"/>
        </w:rPr>
        <w:t>морају се захтевати посебним законом</w:t>
      </w:r>
      <w:r w:rsidR="00904ABF" w:rsidRPr="006E4BB9">
        <w:rPr>
          <w:szCs w:val="24"/>
        </w:rPr>
        <w:t xml:space="preserve"> (</w:t>
      </w:r>
      <w:r>
        <w:rPr>
          <w:szCs w:val="24"/>
        </w:rPr>
        <w:t xml:space="preserve">опште </w:t>
      </w:r>
      <w:r w:rsidR="00A4375C">
        <w:rPr>
          <w:szCs w:val="24"/>
        </w:rPr>
        <w:t xml:space="preserve">напомене </w:t>
      </w:r>
      <w:r>
        <w:rPr>
          <w:szCs w:val="24"/>
        </w:rPr>
        <w:t xml:space="preserve">и коментари на појединачне чланове: члан </w:t>
      </w:r>
      <w:r w:rsidR="00904ABF" w:rsidRPr="006E4BB9">
        <w:rPr>
          <w:szCs w:val="24"/>
        </w:rPr>
        <w:t>28</w:t>
      </w:r>
      <w:r>
        <w:rPr>
          <w:szCs w:val="24"/>
        </w:rPr>
        <w:t>. став</w:t>
      </w:r>
      <w:r w:rsidR="00904ABF" w:rsidRPr="006E4BB9">
        <w:rPr>
          <w:szCs w:val="24"/>
        </w:rPr>
        <w:t xml:space="preserve"> 1, </w:t>
      </w:r>
      <w:r>
        <w:rPr>
          <w:szCs w:val="24"/>
        </w:rPr>
        <w:t>члан</w:t>
      </w:r>
      <w:r w:rsidR="00904ABF" w:rsidRPr="006E4BB9">
        <w:rPr>
          <w:szCs w:val="24"/>
        </w:rPr>
        <w:t xml:space="preserve"> 34</w:t>
      </w:r>
      <w:r>
        <w:rPr>
          <w:szCs w:val="24"/>
        </w:rPr>
        <w:t>.</w:t>
      </w:r>
      <w:r w:rsidR="00904ABF" w:rsidRPr="006E4BB9">
        <w:rPr>
          <w:szCs w:val="24"/>
        </w:rPr>
        <w:t xml:space="preserve"> </w:t>
      </w:r>
      <w:r>
        <w:rPr>
          <w:szCs w:val="24"/>
        </w:rPr>
        <w:t>став</w:t>
      </w:r>
      <w:r w:rsidR="00904ABF" w:rsidRPr="006E4BB9">
        <w:rPr>
          <w:szCs w:val="24"/>
        </w:rPr>
        <w:t xml:space="preserve"> 2, </w:t>
      </w:r>
      <w:r>
        <w:rPr>
          <w:szCs w:val="24"/>
        </w:rPr>
        <w:t>члан</w:t>
      </w:r>
      <w:r w:rsidR="00904ABF" w:rsidRPr="006E4BB9">
        <w:rPr>
          <w:szCs w:val="24"/>
        </w:rPr>
        <w:t xml:space="preserve"> 40</w:t>
      </w:r>
      <w:r>
        <w:rPr>
          <w:szCs w:val="24"/>
        </w:rPr>
        <w:t>.</w:t>
      </w:r>
      <w:r w:rsidR="00904ABF" w:rsidRPr="006E4BB9">
        <w:rPr>
          <w:szCs w:val="24"/>
        </w:rPr>
        <w:t>).</w:t>
      </w:r>
    </w:p>
    <w:p w14:paraId="4D0220EE" w14:textId="77777777" w:rsidR="00904ABF" w:rsidRPr="006E4BB9" w:rsidRDefault="000E4B44" w:rsidP="00904ABF">
      <w:pPr>
        <w:jc w:val="both"/>
        <w:rPr>
          <w:rFonts w:cs="Calibri"/>
          <w:b/>
        </w:rPr>
      </w:pPr>
      <w:r>
        <w:rPr>
          <w:rFonts w:cs="Calibri"/>
          <w:b/>
        </w:rPr>
        <w:t>ПРЕНОСИ ПОДАТАКА</w:t>
      </w:r>
      <w:r w:rsidR="00904ABF" w:rsidRPr="006E4BB9">
        <w:rPr>
          <w:rFonts w:cs="Calibri"/>
          <w:b/>
        </w:rPr>
        <w:t>:</w:t>
      </w:r>
    </w:p>
    <w:p w14:paraId="65B620ED" w14:textId="77777777" w:rsidR="00904ABF" w:rsidRPr="006E4BB9" w:rsidRDefault="000E4B44" w:rsidP="00904ABF">
      <w:pPr>
        <w:jc w:val="both"/>
        <w:rPr>
          <w:szCs w:val="24"/>
        </w:rPr>
      </w:pPr>
      <w:r>
        <w:rPr>
          <w:szCs w:val="24"/>
        </w:rPr>
        <w:t xml:space="preserve">Треба примењивати исте стандарде или/и механизам за одобрење преноса на основу одговарајућих заштитних мера који су већ одобрени у складу са правом ЕУ (коментари на чл. </w:t>
      </w:r>
      <w:r w:rsidR="00904ABF" w:rsidRPr="006E4BB9">
        <w:rPr>
          <w:szCs w:val="24"/>
        </w:rPr>
        <w:t xml:space="preserve">4. </w:t>
      </w:r>
      <w:r>
        <w:rPr>
          <w:szCs w:val="24"/>
        </w:rPr>
        <w:t>и</w:t>
      </w:r>
      <w:r w:rsidR="00904ABF" w:rsidRPr="006E4BB9">
        <w:rPr>
          <w:szCs w:val="24"/>
        </w:rPr>
        <w:t xml:space="preserve"> 65</w:t>
      </w:r>
      <w:r>
        <w:rPr>
          <w:szCs w:val="24"/>
        </w:rPr>
        <w:t>.). Осим тога, у овом погледу треба ревидирати задатке и надлежности</w:t>
      </w:r>
      <w:r w:rsidR="00904ABF" w:rsidRPr="006E4BB9">
        <w:rPr>
          <w:szCs w:val="24"/>
        </w:rPr>
        <w:t xml:space="preserve"> (</w:t>
      </w:r>
      <w:r>
        <w:rPr>
          <w:szCs w:val="24"/>
        </w:rPr>
        <w:t>нарочито у погледу стандардних уговорних клаузула</w:t>
      </w:r>
      <w:r w:rsidR="00904ABF" w:rsidRPr="006E4BB9">
        <w:rPr>
          <w:szCs w:val="24"/>
        </w:rPr>
        <w:t xml:space="preserve">). </w:t>
      </w:r>
    </w:p>
    <w:p w14:paraId="171A1578" w14:textId="77777777" w:rsidR="00904ABF" w:rsidRPr="006E4BB9" w:rsidRDefault="000E4B44" w:rsidP="00904ABF">
      <w:pPr>
        <w:jc w:val="both"/>
        <w:rPr>
          <w:rFonts w:cs="Calibri"/>
          <w:b/>
        </w:rPr>
      </w:pPr>
      <w:r>
        <w:rPr>
          <w:rFonts w:cs="Calibri"/>
          <w:b/>
        </w:rPr>
        <w:t>ПОСЕБНЕ СИТУАЦИЈЕ ОБРАДЕ</w:t>
      </w:r>
      <w:r w:rsidR="00904ABF" w:rsidRPr="006E4BB9">
        <w:rPr>
          <w:rFonts w:cs="Calibri"/>
          <w:b/>
        </w:rPr>
        <w:t>:</w:t>
      </w:r>
    </w:p>
    <w:p w14:paraId="5EB64940" w14:textId="77777777" w:rsidR="00904ABF" w:rsidRPr="006E4BB9" w:rsidRDefault="000E4B44" w:rsidP="00904ABF">
      <w:pPr>
        <w:jc w:val="both"/>
        <w:rPr>
          <w:szCs w:val="24"/>
        </w:rPr>
      </w:pPr>
      <w:r>
        <w:rPr>
          <w:szCs w:val="24"/>
        </w:rPr>
        <w:t xml:space="preserve">Потребно је посветити посебну пажњу члану </w:t>
      </w:r>
      <w:r w:rsidR="00904ABF" w:rsidRPr="006E4BB9">
        <w:rPr>
          <w:szCs w:val="24"/>
        </w:rPr>
        <w:t xml:space="preserve">94. </w:t>
      </w:r>
    </w:p>
    <w:p w14:paraId="1224FFFC" w14:textId="77777777" w:rsidR="00904ABF" w:rsidRPr="006E4BB9" w:rsidRDefault="002339C9" w:rsidP="00904ABF">
      <w:pPr>
        <w:jc w:val="both"/>
        <w:rPr>
          <w:rFonts w:cs="Calibri"/>
          <w:b/>
        </w:rPr>
      </w:pPr>
      <w:r>
        <w:rPr>
          <w:rFonts w:cs="Calibri"/>
          <w:b/>
        </w:rPr>
        <w:t>САНКЦИЈЕ</w:t>
      </w:r>
      <w:r w:rsidR="00904ABF" w:rsidRPr="006E4BB9">
        <w:rPr>
          <w:rFonts w:cs="Calibri"/>
          <w:b/>
        </w:rPr>
        <w:t>:</w:t>
      </w:r>
    </w:p>
    <w:p w14:paraId="307D10F5" w14:textId="77777777" w:rsidR="00904ABF" w:rsidRPr="006E4BB9" w:rsidRDefault="002339C9" w:rsidP="00904ABF">
      <w:pPr>
        <w:jc w:val="both"/>
        <w:rPr>
          <w:szCs w:val="24"/>
        </w:rPr>
      </w:pPr>
      <w:r>
        <w:rPr>
          <w:szCs w:val="24"/>
        </w:rPr>
        <w:t>Из овог Закона се не може закључити како ће се поштовати услови за административне новчане казне у појединачним случајевима у складу са процедуралним законодавством</w:t>
      </w:r>
      <w:r w:rsidR="00904ABF" w:rsidRPr="006E4BB9">
        <w:rPr>
          <w:szCs w:val="24"/>
        </w:rPr>
        <w:t>.</w:t>
      </w:r>
    </w:p>
    <w:p w14:paraId="49005980" w14:textId="77777777" w:rsidR="00904ABF" w:rsidRPr="006E4BB9" w:rsidRDefault="000E4B44" w:rsidP="00904ABF">
      <w:pPr>
        <w:jc w:val="both"/>
        <w:rPr>
          <w:szCs w:val="24"/>
        </w:rPr>
      </w:pPr>
      <w:r>
        <w:rPr>
          <w:szCs w:val="24"/>
        </w:rPr>
        <w:t>Осим тога, недостају санкције за многа кршења општих одредби, укључујући оне које према</w:t>
      </w:r>
      <w:r w:rsidR="00904ABF" w:rsidRPr="006E4BB9">
        <w:rPr>
          <w:szCs w:val="24"/>
        </w:rPr>
        <w:t xml:space="preserve"> </w:t>
      </w:r>
      <w:r w:rsidR="00CA510A" w:rsidRPr="006E4BB9">
        <w:rPr>
          <w:i/>
          <w:szCs w:val="24"/>
        </w:rPr>
        <w:t>GDPR</w:t>
      </w:r>
      <w:r>
        <w:rPr>
          <w:szCs w:val="24"/>
        </w:rPr>
        <w:t xml:space="preserve"> представљају значајније кршење</w:t>
      </w:r>
      <w:r w:rsidR="00904ABF" w:rsidRPr="006E4BB9">
        <w:rPr>
          <w:szCs w:val="24"/>
        </w:rPr>
        <w:t xml:space="preserve"> (</w:t>
      </w:r>
      <w:r>
        <w:rPr>
          <w:szCs w:val="24"/>
        </w:rPr>
        <w:t>нпр., обрада без правне основе</w:t>
      </w:r>
      <w:r w:rsidR="00904ABF" w:rsidRPr="006E4BB9">
        <w:rPr>
          <w:szCs w:val="24"/>
        </w:rPr>
        <w:t xml:space="preserve"> (</w:t>
      </w:r>
      <w:r>
        <w:rPr>
          <w:szCs w:val="24"/>
        </w:rPr>
        <w:t>члан</w:t>
      </w:r>
      <w:r w:rsidR="00904ABF" w:rsidRPr="006E4BB9">
        <w:rPr>
          <w:szCs w:val="24"/>
        </w:rPr>
        <w:t xml:space="preserve"> 12</w:t>
      </w:r>
      <w:r>
        <w:rPr>
          <w:szCs w:val="24"/>
        </w:rPr>
        <w:t>.</w:t>
      </w:r>
      <w:r w:rsidR="00904ABF" w:rsidRPr="006E4BB9">
        <w:rPr>
          <w:szCs w:val="24"/>
        </w:rPr>
        <w:t xml:space="preserve">), </w:t>
      </w:r>
      <w:r>
        <w:rPr>
          <w:szCs w:val="24"/>
        </w:rPr>
        <w:t>кршење права физичких лица, итд</w:t>
      </w:r>
      <w:r w:rsidR="00904ABF" w:rsidRPr="006E4BB9">
        <w:rPr>
          <w:szCs w:val="24"/>
        </w:rPr>
        <w:t>.).</w:t>
      </w:r>
    </w:p>
    <w:p w14:paraId="2D765CD1" w14:textId="77777777" w:rsidR="00904ABF" w:rsidRPr="006E4BB9" w:rsidRDefault="007A0156" w:rsidP="00904ABF">
      <w:pPr>
        <w:jc w:val="both"/>
        <w:rPr>
          <w:rFonts w:cs="Calibri"/>
          <w:b/>
        </w:rPr>
      </w:pPr>
      <w:r>
        <w:rPr>
          <w:rFonts w:cs="Calibri"/>
          <w:b/>
        </w:rPr>
        <w:t>ОСТАЛО</w:t>
      </w:r>
      <w:r w:rsidR="00904ABF" w:rsidRPr="006E4BB9">
        <w:rPr>
          <w:rFonts w:cs="Calibri"/>
          <w:b/>
        </w:rPr>
        <w:t>:</w:t>
      </w:r>
    </w:p>
    <w:p w14:paraId="30D3852F" w14:textId="77777777" w:rsidR="00C23997" w:rsidRPr="006E4BB9" w:rsidRDefault="007A0156" w:rsidP="00904ABF">
      <w:pPr>
        <w:jc w:val="both"/>
      </w:pPr>
      <w:r>
        <w:t>По нашем мишљењу, није у супротности</w:t>
      </w:r>
      <w:r w:rsidR="002339C9" w:rsidRPr="002339C9">
        <w:t xml:space="preserve"> </w:t>
      </w:r>
      <w:r w:rsidR="002339C9">
        <w:t xml:space="preserve">са </w:t>
      </w:r>
      <w:r w:rsidR="002339C9" w:rsidRPr="006E4BB9">
        <w:rPr>
          <w:i/>
        </w:rPr>
        <w:t>GDPR</w:t>
      </w:r>
      <w:r w:rsidR="002339C9">
        <w:t xml:space="preserve"> да се у националном праву</w:t>
      </w:r>
      <w:r>
        <w:t xml:space="preserve"> уреде додатне области које нису обухваћене </w:t>
      </w:r>
      <w:r w:rsidR="00CA510A" w:rsidRPr="006E4BB9">
        <w:rPr>
          <w:i/>
        </w:rPr>
        <w:t>GDPR</w:t>
      </w:r>
      <w:r w:rsidR="00904ABF" w:rsidRPr="006E4BB9">
        <w:t xml:space="preserve">, </w:t>
      </w:r>
      <w:r w:rsidR="002339C9">
        <w:t xml:space="preserve">уколико се таква потреба укаже. У овом погледу, може се уредити заштита података о личности преминулих појединаца. Осим тога, видео надзор, </w:t>
      </w:r>
      <w:r w:rsidR="002339C9">
        <w:lastRenderedPageBreak/>
        <w:t>биометријски подаци, евиденције о уласцима и изласцима из објеката и друге посебне области како би се избегло погрешно тумачење и правна неизвесност (недостаје део реченице, прим.</w:t>
      </w:r>
      <w:r w:rsidR="00C5109D">
        <w:t xml:space="preserve"> </w:t>
      </w:r>
      <w:r w:rsidR="002339C9">
        <w:t xml:space="preserve">прев.). Поменути институти би могли бити предмет посебног поглавља општег закона о заштити података или неког засебног закона. Уређивање поменутих области, иако није предмет материјала </w:t>
      </w:r>
      <w:r w:rsidR="00CA510A" w:rsidRPr="006E4BB9">
        <w:rPr>
          <w:i/>
        </w:rPr>
        <w:t>GDPR</w:t>
      </w:r>
      <w:r w:rsidR="008850D6" w:rsidRPr="006E4BB9">
        <w:t>,</w:t>
      </w:r>
      <w:r w:rsidR="002339C9">
        <w:t xml:space="preserve"> се, према нашој пракси, показало корисним</w:t>
      </w:r>
      <w:r w:rsidR="00904ABF" w:rsidRPr="006E4BB9">
        <w:t xml:space="preserve">. </w:t>
      </w:r>
    </w:p>
    <w:sectPr w:rsidR="00C23997" w:rsidRPr="006E4BB9" w:rsidSect="00365477">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4B47E" w14:textId="77777777" w:rsidR="000E57D0" w:rsidRDefault="000E57D0" w:rsidP="00904ABF">
      <w:pPr>
        <w:spacing w:after="0" w:line="240" w:lineRule="auto"/>
      </w:pPr>
      <w:r>
        <w:separator/>
      </w:r>
    </w:p>
  </w:endnote>
  <w:endnote w:type="continuationSeparator" w:id="0">
    <w:p w14:paraId="614F13F2" w14:textId="77777777" w:rsidR="000E57D0" w:rsidRDefault="000E57D0" w:rsidP="00904ABF">
      <w:pPr>
        <w:spacing w:after="0" w:line="240" w:lineRule="auto"/>
      </w:pPr>
      <w:r>
        <w:continuationSeparator/>
      </w:r>
    </w:p>
  </w:endnote>
  <w:endnote w:type="continuationNotice" w:id="1">
    <w:p w14:paraId="3E8B4DD5" w14:textId="77777777" w:rsidR="000E57D0" w:rsidRDefault="000E5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5B9A" w14:textId="77777777" w:rsidR="003F57D1" w:rsidRDefault="00793BAE">
    <w:pPr>
      <w:pStyle w:val="Footer"/>
      <w:jc w:val="center"/>
    </w:pPr>
    <w:r>
      <w:fldChar w:fldCharType="begin"/>
    </w:r>
    <w:r>
      <w:instrText>PAGE   \* MERGEFORMAT</w:instrText>
    </w:r>
    <w:r>
      <w:fldChar w:fldCharType="separate"/>
    </w:r>
    <w:r w:rsidR="00E7302F" w:rsidRPr="00E7302F">
      <w:rPr>
        <w:noProof/>
        <w:lang w:val="sl-SI"/>
      </w:rPr>
      <w:t>22</w:t>
    </w:r>
    <w:r>
      <w:rPr>
        <w:noProof/>
        <w:lang w:val="sl-SI"/>
      </w:rPr>
      <w:fldChar w:fldCharType="end"/>
    </w:r>
  </w:p>
  <w:p w14:paraId="0E15D9DF" w14:textId="77777777" w:rsidR="003F57D1" w:rsidRDefault="003F5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B43F4" w14:textId="77777777" w:rsidR="000E57D0" w:rsidRDefault="000E57D0" w:rsidP="00904ABF">
      <w:pPr>
        <w:spacing w:after="0" w:line="240" w:lineRule="auto"/>
      </w:pPr>
      <w:r>
        <w:separator/>
      </w:r>
    </w:p>
  </w:footnote>
  <w:footnote w:type="continuationSeparator" w:id="0">
    <w:p w14:paraId="59F5CD34" w14:textId="77777777" w:rsidR="000E57D0" w:rsidRDefault="000E57D0" w:rsidP="00904ABF">
      <w:pPr>
        <w:spacing w:after="0" w:line="240" w:lineRule="auto"/>
      </w:pPr>
      <w:r>
        <w:continuationSeparator/>
      </w:r>
    </w:p>
  </w:footnote>
  <w:footnote w:type="continuationNotice" w:id="1">
    <w:p w14:paraId="13902FFB" w14:textId="77777777" w:rsidR="000E57D0" w:rsidRDefault="000E57D0">
      <w:pPr>
        <w:spacing w:after="0" w:line="240" w:lineRule="auto"/>
      </w:pPr>
    </w:p>
  </w:footnote>
  <w:footnote w:id="2">
    <w:p w14:paraId="0ED9351D" w14:textId="77777777" w:rsidR="003F57D1" w:rsidRPr="00BB495F" w:rsidRDefault="003F57D1" w:rsidP="00904ABF">
      <w:pPr>
        <w:pStyle w:val="sprotnaopomba"/>
        <w:rPr>
          <w:lang w:val="sl-SI"/>
        </w:rPr>
      </w:pPr>
      <w:r w:rsidRPr="00BB495F">
        <w:rPr>
          <w:rStyle w:val="FootnoteReference"/>
        </w:rPr>
        <w:footnoteRef/>
      </w:r>
      <w:r>
        <w:t xml:space="preserve"> Мишљење о неки кључним питањима Директиве о спровођењу закона</w:t>
      </w:r>
      <w:r w:rsidRPr="00BB495F">
        <w:t xml:space="preserve"> (</w:t>
      </w:r>
      <w:r>
        <w:t>ЕУ број</w:t>
      </w:r>
      <w:r w:rsidRPr="00BB495F">
        <w:t xml:space="preserve"> 2016/680)</w:t>
      </w:r>
      <w:r>
        <w:t>, од 29. новембра</w:t>
      </w:r>
      <w:r w:rsidRPr="00BB495F">
        <w:t xml:space="preserve"> 2017</w:t>
      </w:r>
      <w:r>
        <w:t>. године</w:t>
      </w:r>
      <w:r w:rsidRPr="00BB495F">
        <w:t xml:space="preserve">, </w:t>
      </w:r>
      <w:r>
        <w:t>стр</w:t>
      </w:r>
      <w:r w:rsidRPr="00BB495F">
        <w:t>. 24.</w:t>
      </w:r>
    </w:p>
  </w:footnote>
  <w:footnote w:id="3">
    <w:p w14:paraId="3DD763CA" w14:textId="77777777" w:rsidR="003F57D1" w:rsidRPr="005744C8" w:rsidRDefault="003F57D1" w:rsidP="00904ABF">
      <w:pPr>
        <w:pStyle w:val="sprotnaopomba"/>
        <w:rPr>
          <w:lang w:val="sl-SI"/>
        </w:rPr>
      </w:pPr>
      <w:r>
        <w:rPr>
          <w:rStyle w:val="FootnoteReference"/>
        </w:rPr>
        <w:footnoteRef/>
      </w:r>
      <w:r>
        <w:t xml:space="preserve"> Смернице WP29 о аутоматизованом одлучивању и профилисању о појединцима за сврхе Уредбе 2016/679, Ревидиране и усвојене 6. фебруара 2018. године, стр</w:t>
      </w:r>
      <w:r>
        <w:rPr>
          <w:lang w:val="sl-SI"/>
        </w:rPr>
        <w:t>.21, 22.</w:t>
      </w:r>
    </w:p>
  </w:footnote>
  <w:footnote w:id="4">
    <w:p w14:paraId="0B1C1673" w14:textId="77777777" w:rsidR="003F57D1" w:rsidRPr="00465DD7" w:rsidRDefault="003F57D1" w:rsidP="00904ABF">
      <w:pPr>
        <w:pStyle w:val="FootnoteText"/>
      </w:pPr>
      <w:r>
        <w:rPr>
          <w:rStyle w:val="FootnoteReference"/>
        </w:rPr>
        <w:footnoteRef/>
      </w:r>
      <w:r>
        <w:t xml:space="preserve"> </w:t>
      </w:r>
      <w:hyperlink r:id="rId1" w:history="1">
        <w:r>
          <w:rPr>
            <w:rStyle w:val="Hyperlink"/>
          </w:rPr>
          <w:t xml:space="preserve">ОДЛУКА КОМИСИЈЕ од </w:t>
        </w:r>
        <w:r w:rsidRPr="00465DD7">
          <w:rPr>
            <w:rStyle w:val="Hyperlink"/>
          </w:rPr>
          <w:t>5</w:t>
        </w:r>
        <w:r>
          <w:rPr>
            <w:rStyle w:val="Hyperlink"/>
          </w:rPr>
          <w:t>. фебруара</w:t>
        </w:r>
        <w:r w:rsidRPr="00465DD7">
          <w:rPr>
            <w:rStyle w:val="Hyperlink"/>
          </w:rPr>
          <w:t xml:space="preserve"> 2010</w:t>
        </w:r>
        <w:r>
          <w:rPr>
            <w:rStyle w:val="Hyperlink"/>
          </w:rPr>
          <w:t>. године</w:t>
        </w:r>
        <w:r w:rsidRPr="00465DD7">
          <w:rPr>
            <w:rStyle w:val="Hyperlink"/>
          </w:rPr>
          <w:t xml:space="preserve"> </w:t>
        </w:r>
        <w:r>
          <w:rPr>
            <w:rStyle w:val="Hyperlink"/>
          </w:rPr>
          <w:t xml:space="preserve">о стандардним уговорним клаузулама за пренос података о личности обрађивачима пословно настањеним у трећим земљама према Директиви </w:t>
        </w:r>
        <w:r w:rsidRPr="00465DD7">
          <w:rPr>
            <w:rStyle w:val="Hyperlink"/>
          </w:rPr>
          <w:t>95/46/</w:t>
        </w:r>
        <w:r>
          <w:rPr>
            <w:rStyle w:val="Hyperlink"/>
          </w:rPr>
          <w:t>ЕЗ Европског парламента и Савета</w:t>
        </w:r>
      </w:hyperlink>
      <w:r>
        <w:t>.</w:t>
      </w:r>
    </w:p>
  </w:footnote>
  <w:footnote w:id="5">
    <w:p w14:paraId="4F95F9FE" w14:textId="77777777" w:rsidR="003F57D1" w:rsidRDefault="003F57D1" w:rsidP="00904ABF">
      <w:pPr>
        <w:pStyle w:val="FootnoteText"/>
      </w:pPr>
      <w:r>
        <w:rPr>
          <w:rStyle w:val="FootnoteReference"/>
        </w:rPr>
        <w:footnoteRef/>
      </w:r>
      <w:r>
        <w:t xml:space="preserve"> </w:t>
      </w:r>
      <w:hyperlink r:id="rId2" w:history="1">
        <w:r>
          <w:rPr>
            <w:rStyle w:val="Hyperlink"/>
          </w:rPr>
          <w:t xml:space="preserve">Одлука Комисије од </w:t>
        </w:r>
        <w:r w:rsidRPr="00465DD7">
          <w:rPr>
            <w:rStyle w:val="Hyperlink"/>
          </w:rPr>
          <w:t>15</w:t>
        </w:r>
        <w:r>
          <w:rPr>
            <w:rStyle w:val="Hyperlink"/>
          </w:rPr>
          <w:t>. јуна</w:t>
        </w:r>
        <w:r w:rsidRPr="00465DD7">
          <w:rPr>
            <w:rStyle w:val="Hyperlink"/>
          </w:rPr>
          <w:t xml:space="preserve"> 2001</w:t>
        </w:r>
        <w:r>
          <w:rPr>
            <w:rStyle w:val="Hyperlink"/>
          </w:rPr>
          <w:t>. године</w:t>
        </w:r>
        <w:r w:rsidRPr="00465DD7">
          <w:rPr>
            <w:rStyle w:val="Hyperlink"/>
          </w:rPr>
          <w:t xml:space="preserve"> </w:t>
        </w:r>
        <w:r>
          <w:rPr>
            <w:rStyle w:val="Hyperlink"/>
          </w:rPr>
          <w:t xml:space="preserve">о стандардним уговорним клаузулама за пренос података о личности у треће земље према Директиви </w:t>
        </w:r>
        <w:r w:rsidRPr="00465DD7">
          <w:rPr>
            <w:rStyle w:val="Hyperlink"/>
          </w:rPr>
          <w:t>95/46/</w:t>
        </w:r>
        <w:r>
          <w:rPr>
            <w:rStyle w:val="Hyperlink"/>
          </w:rPr>
          <w:t>ЕЗ</w:t>
        </w:r>
      </w:hyperlink>
      <w:r>
        <w:t>.</w:t>
      </w:r>
    </w:p>
    <w:p w14:paraId="47A4524D" w14:textId="77777777" w:rsidR="003F57D1" w:rsidRPr="00465DD7" w:rsidRDefault="003F57D1" w:rsidP="00904ABF">
      <w:pPr>
        <w:pStyle w:val="FootnoteText"/>
      </w:pPr>
      <w:r>
        <w:rPr>
          <w:rStyle w:val="Hyperlink"/>
        </w:rPr>
        <w:t xml:space="preserve">ОДЛУКА КОМИСИЈЕ од </w:t>
      </w:r>
      <w:hyperlink r:id="rId3" w:history="1">
        <w:r w:rsidRPr="00465DD7">
          <w:rPr>
            <w:rStyle w:val="Hyperlink"/>
          </w:rPr>
          <w:t>27</w:t>
        </w:r>
        <w:r>
          <w:rPr>
            <w:rStyle w:val="Hyperlink"/>
          </w:rPr>
          <w:t>. децембра</w:t>
        </w:r>
        <w:r w:rsidRPr="00465DD7">
          <w:rPr>
            <w:rStyle w:val="Hyperlink"/>
          </w:rPr>
          <w:t xml:space="preserve"> 2004</w:t>
        </w:r>
        <w:r>
          <w:rPr>
            <w:rStyle w:val="Hyperlink"/>
          </w:rPr>
          <w:t>. године</w:t>
        </w:r>
        <w:r w:rsidRPr="00465DD7">
          <w:rPr>
            <w:rStyle w:val="Hyperlink"/>
          </w:rPr>
          <w:t xml:space="preserve"> </w:t>
        </w:r>
        <w:r>
          <w:rPr>
            <w:rStyle w:val="Hyperlink"/>
          </w:rPr>
          <w:t xml:space="preserve">о измени Одлуке </w:t>
        </w:r>
        <w:r w:rsidRPr="00465DD7">
          <w:rPr>
            <w:rStyle w:val="Hyperlink"/>
          </w:rPr>
          <w:t>2001/497/</w:t>
        </w:r>
        <w:r>
          <w:rPr>
            <w:rStyle w:val="Hyperlink"/>
          </w:rPr>
          <w:t>ЕЗ у погледу увођења алтернативног скупа стандардних уговорних клаузула за пренос података о личности у треће земље</w:t>
        </w:r>
        <w:r w:rsidRPr="00465DD7">
          <w:rPr>
            <w:rStyle w:val="Hyperlink"/>
          </w:rPr>
          <w: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1478E"/>
    <w:multiLevelType w:val="hybridMultilevel"/>
    <w:tmpl w:val="C3BA5D80"/>
    <w:lvl w:ilvl="0" w:tplc="000660E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58507C"/>
    <w:multiLevelType w:val="hybridMultilevel"/>
    <w:tmpl w:val="63B0C006"/>
    <w:lvl w:ilvl="0" w:tplc="4E4C0B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25C3B52"/>
    <w:multiLevelType w:val="hybridMultilevel"/>
    <w:tmpl w:val="E55C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778B0"/>
    <w:multiLevelType w:val="hybridMultilevel"/>
    <w:tmpl w:val="4998C138"/>
    <w:lvl w:ilvl="0" w:tplc="FA32D71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BF"/>
    <w:rsid w:val="00004DC9"/>
    <w:rsid w:val="000171EE"/>
    <w:rsid w:val="00020A26"/>
    <w:rsid w:val="0003307D"/>
    <w:rsid w:val="00035381"/>
    <w:rsid w:val="00040E84"/>
    <w:rsid w:val="00042950"/>
    <w:rsid w:val="0004740D"/>
    <w:rsid w:val="000673D1"/>
    <w:rsid w:val="000723EC"/>
    <w:rsid w:val="0007755B"/>
    <w:rsid w:val="00092A80"/>
    <w:rsid w:val="000A1500"/>
    <w:rsid w:val="000A5400"/>
    <w:rsid w:val="000B5666"/>
    <w:rsid w:val="000B77C6"/>
    <w:rsid w:val="000D7292"/>
    <w:rsid w:val="000E0A67"/>
    <w:rsid w:val="000E4480"/>
    <w:rsid w:val="000E4B44"/>
    <w:rsid w:val="000E57D0"/>
    <w:rsid w:val="000F7766"/>
    <w:rsid w:val="000F77AA"/>
    <w:rsid w:val="00100C46"/>
    <w:rsid w:val="0013774F"/>
    <w:rsid w:val="00183EF3"/>
    <w:rsid w:val="001924D6"/>
    <w:rsid w:val="00194688"/>
    <w:rsid w:val="001C5990"/>
    <w:rsid w:val="001C7DCB"/>
    <w:rsid w:val="001D2731"/>
    <w:rsid w:val="001F0068"/>
    <w:rsid w:val="001F342A"/>
    <w:rsid w:val="001F5C9B"/>
    <w:rsid w:val="00200096"/>
    <w:rsid w:val="002027EB"/>
    <w:rsid w:val="0020574A"/>
    <w:rsid w:val="0021522C"/>
    <w:rsid w:val="00223B1A"/>
    <w:rsid w:val="00233667"/>
    <w:rsid w:val="002339C9"/>
    <w:rsid w:val="0024116A"/>
    <w:rsid w:val="002548E4"/>
    <w:rsid w:val="00261D5F"/>
    <w:rsid w:val="00261D79"/>
    <w:rsid w:val="00274003"/>
    <w:rsid w:val="00277886"/>
    <w:rsid w:val="00282A01"/>
    <w:rsid w:val="002A61DC"/>
    <w:rsid w:val="002B19FC"/>
    <w:rsid w:val="002B1B1B"/>
    <w:rsid w:val="002C3821"/>
    <w:rsid w:val="002F1BAA"/>
    <w:rsid w:val="00303893"/>
    <w:rsid w:val="0034111A"/>
    <w:rsid w:val="00344560"/>
    <w:rsid w:val="00347464"/>
    <w:rsid w:val="003570CC"/>
    <w:rsid w:val="00365477"/>
    <w:rsid w:val="0036573B"/>
    <w:rsid w:val="003658F3"/>
    <w:rsid w:val="00370839"/>
    <w:rsid w:val="00374BFB"/>
    <w:rsid w:val="00377CF1"/>
    <w:rsid w:val="00382018"/>
    <w:rsid w:val="00392255"/>
    <w:rsid w:val="00392F0E"/>
    <w:rsid w:val="003972FD"/>
    <w:rsid w:val="003A1250"/>
    <w:rsid w:val="003A31A6"/>
    <w:rsid w:val="003B692B"/>
    <w:rsid w:val="003F57D1"/>
    <w:rsid w:val="004020E4"/>
    <w:rsid w:val="00407513"/>
    <w:rsid w:val="004115EF"/>
    <w:rsid w:val="00421645"/>
    <w:rsid w:val="00452672"/>
    <w:rsid w:val="00457A94"/>
    <w:rsid w:val="004A6351"/>
    <w:rsid w:val="004A69F4"/>
    <w:rsid w:val="004B4083"/>
    <w:rsid w:val="004B5659"/>
    <w:rsid w:val="004C514E"/>
    <w:rsid w:val="004D7BA6"/>
    <w:rsid w:val="004F3344"/>
    <w:rsid w:val="004F7AB9"/>
    <w:rsid w:val="00500E8C"/>
    <w:rsid w:val="00513B98"/>
    <w:rsid w:val="005238A8"/>
    <w:rsid w:val="00525F45"/>
    <w:rsid w:val="005336EF"/>
    <w:rsid w:val="005574DC"/>
    <w:rsid w:val="0056322A"/>
    <w:rsid w:val="00563CED"/>
    <w:rsid w:val="00570DA7"/>
    <w:rsid w:val="00582820"/>
    <w:rsid w:val="005A7CF9"/>
    <w:rsid w:val="005C4C39"/>
    <w:rsid w:val="005D029C"/>
    <w:rsid w:val="005E3498"/>
    <w:rsid w:val="00602D66"/>
    <w:rsid w:val="00603285"/>
    <w:rsid w:val="00603C01"/>
    <w:rsid w:val="006048A1"/>
    <w:rsid w:val="006168DE"/>
    <w:rsid w:val="00616D22"/>
    <w:rsid w:val="00622EFF"/>
    <w:rsid w:val="006430D7"/>
    <w:rsid w:val="006509DC"/>
    <w:rsid w:val="006610F8"/>
    <w:rsid w:val="006617B4"/>
    <w:rsid w:val="006634A6"/>
    <w:rsid w:val="00673277"/>
    <w:rsid w:val="00677BD8"/>
    <w:rsid w:val="00680FF8"/>
    <w:rsid w:val="00684523"/>
    <w:rsid w:val="00686A24"/>
    <w:rsid w:val="006A5DA1"/>
    <w:rsid w:val="006B10D7"/>
    <w:rsid w:val="006B2AEB"/>
    <w:rsid w:val="006B5519"/>
    <w:rsid w:val="006C0C81"/>
    <w:rsid w:val="006D4508"/>
    <w:rsid w:val="006E4BB9"/>
    <w:rsid w:val="006E767C"/>
    <w:rsid w:val="006F1C89"/>
    <w:rsid w:val="0071686C"/>
    <w:rsid w:val="0073305F"/>
    <w:rsid w:val="00733490"/>
    <w:rsid w:val="0074647F"/>
    <w:rsid w:val="00753A86"/>
    <w:rsid w:val="0076521C"/>
    <w:rsid w:val="00767DCC"/>
    <w:rsid w:val="0077196F"/>
    <w:rsid w:val="007750A2"/>
    <w:rsid w:val="00777ECE"/>
    <w:rsid w:val="00793841"/>
    <w:rsid w:val="00793BAE"/>
    <w:rsid w:val="00794F8A"/>
    <w:rsid w:val="007A0156"/>
    <w:rsid w:val="007C0EE7"/>
    <w:rsid w:val="007C30F4"/>
    <w:rsid w:val="007D7330"/>
    <w:rsid w:val="008260E8"/>
    <w:rsid w:val="00830D3E"/>
    <w:rsid w:val="00841515"/>
    <w:rsid w:val="00851DA7"/>
    <w:rsid w:val="00871451"/>
    <w:rsid w:val="0087745F"/>
    <w:rsid w:val="008850D6"/>
    <w:rsid w:val="008A3B74"/>
    <w:rsid w:val="008C0E88"/>
    <w:rsid w:val="008D02BD"/>
    <w:rsid w:val="008F05A5"/>
    <w:rsid w:val="008F3843"/>
    <w:rsid w:val="008F4EB0"/>
    <w:rsid w:val="009000F7"/>
    <w:rsid w:val="00904ABF"/>
    <w:rsid w:val="0093300B"/>
    <w:rsid w:val="009421D3"/>
    <w:rsid w:val="00943B23"/>
    <w:rsid w:val="00950D36"/>
    <w:rsid w:val="00950E9E"/>
    <w:rsid w:val="00964317"/>
    <w:rsid w:val="0096535B"/>
    <w:rsid w:val="00972730"/>
    <w:rsid w:val="00992EF5"/>
    <w:rsid w:val="00996C75"/>
    <w:rsid w:val="009A1DA2"/>
    <w:rsid w:val="009B292D"/>
    <w:rsid w:val="009B3CBB"/>
    <w:rsid w:val="009C14B1"/>
    <w:rsid w:val="009C1620"/>
    <w:rsid w:val="009C5B98"/>
    <w:rsid w:val="009E2A1A"/>
    <w:rsid w:val="009F1A7B"/>
    <w:rsid w:val="00A0426F"/>
    <w:rsid w:val="00A1360D"/>
    <w:rsid w:val="00A226C9"/>
    <w:rsid w:val="00A430FF"/>
    <w:rsid w:val="00A4375C"/>
    <w:rsid w:val="00A63581"/>
    <w:rsid w:val="00A6743D"/>
    <w:rsid w:val="00A71239"/>
    <w:rsid w:val="00A91453"/>
    <w:rsid w:val="00AA40CC"/>
    <w:rsid w:val="00AA424E"/>
    <w:rsid w:val="00AB481B"/>
    <w:rsid w:val="00AF7B8B"/>
    <w:rsid w:val="00B37553"/>
    <w:rsid w:val="00B46773"/>
    <w:rsid w:val="00B53F11"/>
    <w:rsid w:val="00B66844"/>
    <w:rsid w:val="00B72168"/>
    <w:rsid w:val="00B833D6"/>
    <w:rsid w:val="00B929C3"/>
    <w:rsid w:val="00B9395B"/>
    <w:rsid w:val="00B956F1"/>
    <w:rsid w:val="00BA31E7"/>
    <w:rsid w:val="00BB45DB"/>
    <w:rsid w:val="00BB7A28"/>
    <w:rsid w:val="00BC15A3"/>
    <w:rsid w:val="00BC1FBB"/>
    <w:rsid w:val="00BC27E3"/>
    <w:rsid w:val="00BD3CDA"/>
    <w:rsid w:val="00C23997"/>
    <w:rsid w:val="00C40C9E"/>
    <w:rsid w:val="00C5109D"/>
    <w:rsid w:val="00C62126"/>
    <w:rsid w:val="00C801DC"/>
    <w:rsid w:val="00C93E95"/>
    <w:rsid w:val="00CA0F33"/>
    <w:rsid w:val="00CA12BF"/>
    <w:rsid w:val="00CA510A"/>
    <w:rsid w:val="00CC178C"/>
    <w:rsid w:val="00CD2255"/>
    <w:rsid w:val="00CD2748"/>
    <w:rsid w:val="00CD6AD7"/>
    <w:rsid w:val="00CE686D"/>
    <w:rsid w:val="00CF4404"/>
    <w:rsid w:val="00D05F02"/>
    <w:rsid w:val="00D12DFA"/>
    <w:rsid w:val="00D22F34"/>
    <w:rsid w:val="00D2729A"/>
    <w:rsid w:val="00D3004B"/>
    <w:rsid w:val="00D3428E"/>
    <w:rsid w:val="00D52DCF"/>
    <w:rsid w:val="00D61146"/>
    <w:rsid w:val="00D641EF"/>
    <w:rsid w:val="00D748E6"/>
    <w:rsid w:val="00D76CDE"/>
    <w:rsid w:val="00D9516F"/>
    <w:rsid w:val="00DA0877"/>
    <w:rsid w:val="00DB1025"/>
    <w:rsid w:val="00DC22C2"/>
    <w:rsid w:val="00DD772B"/>
    <w:rsid w:val="00DE6F66"/>
    <w:rsid w:val="00DF7ACE"/>
    <w:rsid w:val="00E0522B"/>
    <w:rsid w:val="00E10BB0"/>
    <w:rsid w:val="00E12391"/>
    <w:rsid w:val="00E1685D"/>
    <w:rsid w:val="00E237E0"/>
    <w:rsid w:val="00E6695A"/>
    <w:rsid w:val="00E7302F"/>
    <w:rsid w:val="00E73229"/>
    <w:rsid w:val="00E770E6"/>
    <w:rsid w:val="00E95A2C"/>
    <w:rsid w:val="00EA2B20"/>
    <w:rsid w:val="00EA7887"/>
    <w:rsid w:val="00EB0AFA"/>
    <w:rsid w:val="00EC7B90"/>
    <w:rsid w:val="00EE5305"/>
    <w:rsid w:val="00EF28DE"/>
    <w:rsid w:val="00F05F8F"/>
    <w:rsid w:val="00F06E79"/>
    <w:rsid w:val="00F1067B"/>
    <w:rsid w:val="00F10C4A"/>
    <w:rsid w:val="00F11A41"/>
    <w:rsid w:val="00F204B7"/>
    <w:rsid w:val="00F379F2"/>
    <w:rsid w:val="00F5418E"/>
    <w:rsid w:val="00F54821"/>
    <w:rsid w:val="00F71C26"/>
    <w:rsid w:val="00F84D76"/>
    <w:rsid w:val="00F92F30"/>
    <w:rsid w:val="00FA00B1"/>
    <w:rsid w:val="00FB38B5"/>
    <w:rsid w:val="00FC5D65"/>
    <w:rsid w:val="00FC625D"/>
    <w:rsid w:val="00FF5A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2C7F"/>
  <w15:docId w15:val="{F5A6BF45-E3B7-4382-8618-D2AE0A67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sl-SI" w:eastAsia="en-US"/>
    </w:rPr>
  </w:style>
  <w:style w:type="paragraph" w:styleId="Heading1">
    <w:name w:val="heading 1"/>
    <w:basedOn w:val="Normal"/>
    <w:next w:val="Normal"/>
    <w:link w:val="Heading1Char"/>
    <w:uiPriority w:val="9"/>
    <w:qFormat/>
    <w:rsid w:val="00904ABF"/>
    <w:pPr>
      <w:keepNext/>
      <w:keepLines/>
      <w:spacing w:before="480" w:after="0"/>
      <w:outlineLvl w:val="0"/>
    </w:pPr>
    <w:rPr>
      <w:rFonts w:ascii="Calibri Light" w:eastAsia="Times New Roman" w:hAnsi="Calibri Light" w:cs="Times New Roman"/>
      <w:b/>
      <w:bCs/>
      <w:color w:val="2F5496"/>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4ABF"/>
    <w:rPr>
      <w:rFonts w:ascii="Calibri Light" w:eastAsia="Times New Roman" w:hAnsi="Calibri Light" w:cs="Times New Roman"/>
      <w:b/>
      <w:bCs/>
      <w:color w:val="2F5496"/>
      <w:sz w:val="28"/>
      <w:szCs w:val="28"/>
      <w:lang w:val="en-GB"/>
    </w:rPr>
  </w:style>
  <w:style w:type="paragraph" w:styleId="FootnoteText">
    <w:name w:val="footnote text"/>
    <w:basedOn w:val="Normal"/>
    <w:link w:val="FootnoteTextChar"/>
    <w:uiPriority w:val="99"/>
    <w:unhideWhenUsed/>
    <w:rsid w:val="00904ABF"/>
    <w:pPr>
      <w:spacing w:after="0" w:line="240" w:lineRule="auto"/>
    </w:pPr>
    <w:rPr>
      <w:rFonts w:ascii="Times New Roman" w:eastAsia="Times New Roman" w:hAnsi="Times New Roman" w:cs="Times New Roman"/>
      <w:sz w:val="20"/>
      <w:szCs w:val="20"/>
      <w:lang w:val="en-GB" w:eastAsia="en-GB" w:bidi="en-GB"/>
    </w:rPr>
  </w:style>
  <w:style w:type="character" w:customStyle="1" w:styleId="FootnoteTextChar">
    <w:name w:val="Footnote Text Char"/>
    <w:link w:val="FootnoteText"/>
    <w:uiPriority w:val="99"/>
    <w:rsid w:val="00904ABF"/>
    <w:rPr>
      <w:rFonts w:ascii="Times New Roman" w:eastAsia="Times New Roman" w:hAnsi="Times New Roman" w:cs="Times New Roman"/>
      <w:sz w:val="20"/>
      <w:szCs w:val="20"/>
      <w:lang w:val="en-GB" w:eastAsia="en-GB" w:bidi="en-GB"/>
    </w:rPr>
  </w:style>
  <w:style w:type="character" w:styleId="FootnoteReference">
    <w:name w:val="footnote reference"/>
    <w:uiPriority w:val="99"/>
    <w:unhideWhenUsed/>
    <w:rsid w:val="00904ABF"/>
    <w:rPr>
      <w:vertAlign w:val="superscript"/>
    </w:rPr>
  </w:style>
  <w:style w:type="paragraph" w:styleId="BodyText">
    <w:name w:val="Body Text"/>
    <w:basedOn w:val="Normal"/>
    <w:link w:val="BodyTextChar"/>
    <w:uiPriority w:val="1"/>
    <w:rsid w:val="00904ABF"/>
    <w:pPr>
      <w:widowControl w:val="0"/>
      <w:spacing w:before="121" w:after="0" w:line="240" w:lineRule="auto"/>
      <w:ind w:left="119" w:hanging="425"/>
      <w:jc w:val="both"/>
    </w:pPr>
    <w:rPr>
      <w:rFonts w:ascii="Times New Roman" w:eastAsia="Times New Roman" w:hAnsi="Times New Roman" w:cs="Times New Roman"/>
      <w:sz w:val="21"/>
      <w:szCs w:val="21"/>
    </w:rPr>
  </w:style>
  <w:style w:type="character" w:customStyle="1" w:styleId="BodyTextChar">
    <w:name w:val="Body Text Char"/>
    <w:link w:val="BodyText"/>
    <w:uiPriority w:val="1"/>
    <w:rsid w:val="00904ABF"/>
    <w:rPr>
      <w:rFonts w:ascii="Times New Roman" w:eastAsia="Times New Roman" w:hAnsi="Times New Roman" w:cs="Times New Roman"/>
      <w:sz w:val="21"/>
      <w:szCs w:val="21"/>
    </w:rPr>
  </w:style>
  <w:style w:type="paragraph" w:customStyle="1" w:styleId="Style3">
    <w:name w:val="Style3"/>
    <w:basedOn w:val="Normal"/>
    <w:uiPriority w:val="99"/>
    <w:rsid w:val="00904ABF"/>
    <w:pPr>
      <w:widowControl w:val="0"/>
      <w:autoSpaceDE w:val="0"/>
      <w:autoSpaceDN w:val="0"/>
      <w:adjustRightInd w:val="0"/>
      <w:spacing w:after="0" w:line="275" w:lineRule="exact"/>
      <w:ind w:firstLine="698"/>
      <w:jc w:val="both"/>
    </w:pPr>
    <w:rPr>
      <w:rFonts w:ascii="Times New Roman" w:eastAsia="Times New Roman" w:hAnsi="Times New Roman" w:cs="Times New Roman"/>
      <w:sz w:val="24"/>
      <w:szCs w:val="24"/>
      <w:lang w:val="en-GB" w:eastAsia="en-GB" w:bidi="en-GB"/>
    </w:rPr>
  </w:style>
  <w:style w:type="character" w:customStyle="1" w:styleId="FontStyle14">
    <w:name w:val="Font Style14"/>
    <w:uiPriority w:val="99"/>
    <w:rsid w:val="00904ABF"/>
    <w:rPr>
      <w:rFonts w:ascii="Times New Roman" w:hAnsi="Times New Roman"/>
      <w:sz w:val="22"/>
    </w:rPr>
  </w:style>
  <w:style w:type="character" w:styleId="PageNumber">
    <w:name w:val="page number"/>
    <w:basedOn w:val="DefaultParagraphFont"/>
    <w:uiPriority w:val="99"/>
    <w:rsid w:val="00904ABF"/>
  </w:style>
  <w:style w:type="paragraph" w:styleId="ListParagraph">
    <w:name w:val="List Paragraph"/>
    <w:basedOn w:val="Normal"/>
    <w:uiPriority w:val="34"/>
    <w:qFormat/>
    <w:rsid w:val="00904ABF"/>
    <w:pPr>
      <w:ind w:left="720"/>
      <w:contextualSpacing/>
    </w:pPr>
    <w:rPr>
      <w:lang w:val="en-GB"/>
    </w:rPr>
  </w:style>
  <w:style w:type="paragraph" w:customStyle="1" w:styleId="podnaslovlen">
    <w:name w:val="podnaslov člen"/>
    <w:basedOn w:val="Normal"/>
    <w:link w:val="podnaslovlenZnak"/>
    <w:qFormat/>
    <w:rsid w:val="00904ABF"/>
    <w:pPr>
      <w:spacing w:before="160"/>
      <w:jc w:val="both"/>
    </w:pPr>
    <w:rPr>
      <w:rFonts w:cs="Times New Roman"/>
      <w:b/>
      <w:bCs/>
      <w:sz w:val="20"/>
      <w:szCs w:val="20"/>
      <w:lang w:val="en-GB"/>
    </w:rPr>
  </w:style>
  <w:style w:type="paragraph" w:customStyle="1" w:styleId="poglavje">
    <w:name w:val="poglavje"/>
    <w:basedOn w:val="Normal"/>
    <w:link w:val="poglavjeZnak"/>
    <w:qFormat/>
    <w:rsid w:val="00904ABF"/>
    <w:pPr>
      <w:spacing w:before="240" w:after="200" w:line="240" w:lineRule="auto"/>
      <w:jc w:val="both"/>
    </w:pPr>
    <w:rPr>
      <w:rFonts w:cs="Times New Roman"/>
      <w:b/>
      <w:bCs/>
      <w:sz w:val="20"/>
      <w:szCs w:val="20"/>
      <w:lang w:val="en-GB"/>
    </w:rPr>
  </w:style>
  <w:style w:type="character" w:customStyle="1" w:styleId="podnaslovlenZnak">
    <w:name w:val="podnaslov člen Znak"/>
    <w:link w:val="podnaslovlen"/>
    <w:rsid w:val="00904ABF"/>
    <w:rPr>
      <w:b/>
      <w:bCs/>
      <w:lang w:val="en-GB"/>
    </w:rPr>
  </w:style>
  <w:style w:type="paragraph" w:customStyle="1" w:styleId="Nadnaslov">
    <w:name w:val="Nadnaslov"/>
    <w:basedOn w:val="Normal"/>
    <w:link w:val="NadnaslovZnak"/>
    <w:qFormat/>
    <w:rsid w:val="00904ABF"/>
    <w:pPr>
      <w:jc w:val="both"/>
    </w:pPr>
    <w:rPr>
      <w:rFonts w:ascii="Arial" w:hAnsi="Arial" w:cs="Times New Roman"/>
      <w:b/>
      <w:bCs/>
      <w:sz w:val="24"/>
      <w:szCs w:val="20"/>
      <w:lang w:val="en-GB"/>
    </w:rPr>
  </w:style>
  <w:style w:type="character" w:customStyle="1" w:styleId="poglavjeZnak">
    <w:name w:val="poglavje Znak"/>
    <w:link w:val="poglavje"/>
    <w:rsid w:val="00904ABF"/>
    <w:rPr>
      <w:b/>
      <w:bCs/>
      <w:lang w:val="en-GB"/>
    </w:rPr>
  </w:style>
  <w:style w:type="character" w:styleId="Hyperlink">
    <w:name w:val="Hyperlink"/>
    <w:uiPriority w:val="99"/>
    <w:unhideWhenUsed/>
    <w:rsid w:val="00904ABF"/>
    <w:rPr>
      <w:color w:val="0563C1"/>
      <w:u w:val="single"/>
    </w:rPr>
  </w:style>
  <w:style w:type="character" w:customStyle="1" w:styleId="NadnaslovZnak">
    <w:name w:val="Nadnaslov Znak"/>
    <w:link w:val="Nadnaslov"/>
    <w:rsid w:val="00904ABF"/>
    <w:rPr>
      <w:rFonts w:ascii="Arial" w:hAnsi="Arial" w:cs="Arial"/>
      <w:b/>
      <w:bCs/>
      <w:sz w:val="24"/>
      <w:szCs w:val="20"/>
      <w:lang w:val="en-GB"/>
    </w:rPr>
  </w:style>
  <w:style w:type="paragraph" w:customStyle="1" w:styleId="sprotnaopomba">
    <w:name w:val="sprotna opomba"/>
    <w:basedOn w:val="FootnoteText"/>
    <w:link w:val="sprotnaopombaZnak"/>
    <w:qFormat/>
    <w:rsid w:val="00904ABF"/>
    <w:rPr>
      <w:rFonts w:cs="Calibri"/>
      <w:sz w:val="18"/>
      <w:szCs w:val="18"/>
    </w:rPr>
  </w:style>
  <w:style w:type="character" w:styleId="CommentReference">
    <w:name w:val="annotation reference"/>
    <w:uiPriority w:val="99"/>
    <w:semiHidden/>
    <w:unhideWhenUsed/>
    <w:rsid w:val="00904ABF"/>
    <w:rPr>
      <w:sz w:val="16"/>
      <w:szCs w:val="16"/>
    </w:rPr>
  </w:style>
  <w:style w:type="character" w:customStyle="1" w:styleId="sprotnaopombaZnak">
    <w:name w:val="sprotna opomba Znak"/>
    <w:link w:val="sprotnaopomba"/>
    <w:rsid w:val="00904ABF"/>
    <w:rPr>
      <w:rFonts w:ascii="Times New Roman" w:eastAsia="Times New Roman" w:hAnsi="Times New Roman" w:cs="Calibri"/>
      <w:sz w:val="18"/>
      <w:szCs w:val="18"/>
      <w:lang w:val="en-GB" w:eastAsia="en-GB" w:bidi="en-GB"/>
    </w:rPr>
  </w:style>
  <w:style w:type="paragraph" w:styleId="CommentText">
    <w:name w:val="annotation text"/>
    <w:basedOn w:val="Normal"/>
    <w:link w:val="CommentTextChar"/>
    <w:uiPriority w:val="99"/>
    <w:unhideWhenUsed/>
    <w:rsid w:val="00904ABF"/>
    <w:pPr>
      <w:spacing w:line="240" w:lineRule="auto"/>
    </w:pPr>
    <w:rPr>
      <w:rFonts w:cs="Times New Roman"/>
      <w:sz w:val="20"/>
      <w:szCs w:val="20"/>
      <w:lang w:val="en-GB"/>
    </w:rPr>
  </w:style>
  <w:style w:type="character" w:customStyle="1" w:styleId="CommentTextChar">
    <w:name w:val="Comment Text Char"/>
    <w:link w:val="CommentText"/>
    <w:uiPriority w:val="99"/>
    <w:rsid w:val="00904ABF"/>
    <w:rPr>
      <w:sz w:val="20"/>
      <w:szCs w:val="20"/>
      <w:lang w:val="en-GB"/>
    </w:rPr>
  </w:style>
  <w:style w:type="paragraph" w:styleId="CommentSubject">
    <w:name w:val="annotation subject"/>
    <w:basedOn w:val="CommentText"/>
    <w:next w:val="CommentText"/>
    <w:link w:val="CommentSubjectChar"/>
    <w:uiPriority w:val="99"/>
    <w:semiHidden/>
    <w:unhideWhenUsed/>
    <w:rsid w:val="00904ABF"/>
    <w:rPr>
      <w:b/>
      <w:bCs/>
    </w:rPr>
  </w:style>
  <w:style w:type="character" w:customStyle="1" w:styleId="CommentSubjectChar">
    <w:name w:val="Comment Subject Char"/>
    <w:link w:val="CommentSubject"/>
    <w:uiPriority w:val="99"/>
    <w:semiHidden/>
    <w:rsid w:val="00904ABF"/>
    <w:rPr>
      <w:b/>
      <w:bCs/>
      <w:sz w:val="20"/>
      <w:szCs w:val="20"/>
      <w:lang w:val="en-GB"/>
    </w:rPr>
  </w:style>
  <w:style w:type="paragraph" w:styleId="BalloonText">
    <w:name w:val="Balloon Text"/>
    <w:basedOn w:val="Normal"/>
    <w:link w:val="BalloonTextChar"/>
    <w:uiPriority w:val="99"/>
    <w:semiHidden/>
    <w:unhideWhenUsed/>
    <w:rsid w:val="00904ABF"/>
    <w:pPr>
      <w:spacing w:after="0" w:line="240" w:lineRule="auto"/>
    </w:pPr>
    <w:rPr>
      <w:rFonts w:ascii="Tahoma" w:hAnsi="Tahoma" w:cs="Times New Roman"/>
      <w:sz w:val="16"/>
      <w:szCs w:val="16"/>
      <w:lang w:val="en-GB"/>
    </w:rPr>
  </w:style>
  <w:style w:type="character" w:customStyle="1" w:styleId="BalloonTextChar">
    <w:name w:val="Balloon Text Char"/>
    <w:link w:val="BalloonText"/>
    <w:uiPriority w:val="99"/>
    <w:semiHidden/>
    <w:rsid w:val="00904ABF"/>
    <w:rPr>
      <w:rFonts w:ascii="Tahoma" w:hAnsi="Tahoma" w:cs="Tahoma"/>
      <w:sz w:val="16"/>
      <w:szCs w:val="16"/>
      <w:lang w:val="en-GB"/>
    </w:rPr>
  </w:style>
  <w:style w:type="paragraph" w:styleId="Header">
    <w:name w:val="header"/>
    <w:basedOn w:val="Normal"/>
    <w:link w:val="HeaderChar"/>
    <w:uiPriority w:val="99"/>
    <w:unhideWhenUsed/>
    <w:rsid w:val="00904ABF"/>
    <w:pPr>
      <w:tabs>
        <w:tab w:val="center" w:pos="4536"/>
        <w:tab w:val="right" w:pos="9072"/>
      </w:tabs>
      <w:spacing w:after="0" w:line="240" w:lineRule="auto"/>
    </w:pPr>
    <w:rPr>
      <w:rFonts w:cs="Times New Roman"/>
      <w:sz w:val="20"/>
      <w:szCs w:val="20"/>
      <w:lang w:val="en-GB"/>
    </w:rPr>
  </w:style>
  <w:style w:type="character" w:customStyle="1" w:styleId="HeaderChar">
    <w:name w:val="Header Char"/>
    <w:link w:val="Header"/>
    <w:uiPriority w:val="99"/>
    <w:rsid w:val="00904ABF"/>
    <w:rPr>
      <w:lang w:val="en-GB"/>
    </w:rPr>
  </w:style>
  <w:style w:type="paragraph" w:styleId="Footer">
    <w:name w:val="footer"/>
    <w:basedOn w:val="Normal"/>
    <w:link w:val="FooterChar"/>
    <w:uiPriority w:val="99"/>
    <w:unhideWhenUsed/>
    <w:rsid w:val="00904ABF"/>
    <w:pPr>
      <w:tabs>
        <w:tab w:val="center" w:pos="4536"/>
        <w:tab w:val="right" w:pos="9072"/>
      </w:tabs>
      <w:spacing w:after="0" w:line="240" w:lineRule="auto"/>
    </w:pPr>
    <w:rPr>
      <w:rFonts w:cs="Times New Roman"/>
      <w:sz w:val="20"/>
      <w:szCs w:val="20"/>
      <w:lang w:val="en-GB"/>
    </w:rPr>
  </w:style>
  <w:style w:type="character" w:customStyle="1" w:styleId="FooterChar">
    <w:name w:val="Footer Char"/>
    <w:link w:val="Footer"/>
    <w:uiPriority w:val="99"/>
    <w:rsid w:val="00904ABF"/>
    <w:rPr>
      <w:lang w:val="en-GB"/>
    </w:rPr>
  </w:style>
  <w:style w:type="paragraph" w:styleId="TOCHeading">
    <w:name w:val="TOC Heading"/>
    <w:basedOn w:val="Heading1"/>
    <w:next w:val="Normal"/>
    <w:uiPriority w:val="39"/>
    <w:unhideWhenUsed/>
    <w:qFormat/>
    <w:rsid w:val="00904ABF"/>
    <w:pPr>
      <w:spacing w:line="276" w:lineRule="auto"/>
      <w:outlineLvl w:val="9"/>
    </w:pPr>
    <w:rPr>
      <w:lang w:val="sl-SI" w:eastAsia="sl-SI"/>
    </w:rPr>
  </w:style>
  <w:style w:type="paragraph" w:styleId="TOC2">
    <w:name w:val="toc 2"/>
    <w:basedOn w:val="Normal"/>
    <w:next w:val="Normal"/>
    <w:autoRedefine/>
    <w:uiPriority w:val="39"/>
    <w:semiHidden/>
    <w:unhideWhenUsed/>
    <w:qFormat/>
    <w:rsid w:val="00904ABF"/>
    <w:pPr>
      <w:spacing w:after="100" w:line="276" w:lineRule="auto"/>
      <w:ind w:left="220"/>
    </w:pPr>
    <w:rPr>
      <w:rFonts w:eastAsia="Times New Roman"/>
      <w:lang w:eastAsia="sl-SI"/>
    </w:rPr>
  </w:style>
  <w:style w:type="paragraph" w:styleId="TOC1">
    <w:name w:val="toc 1"/>
    <w:basedOn w:val="Normal"/>
    <w:next w:val="Normal"/>
    <w:autoRedefine/>
    <w:uiPriority w:val="39"/>
    <w:semiHidden/>
    <w:unhideWhenUsed/>
    <w:qFormat/>
    <w:rsid w:val="00904ABF"/>
    <w:pPr>
      <w:spacing w:after="100" w:line="276" w:lineRule="auto"/>
    </w:pPr>
    <w:rPr>
      <w:rFonts w:eastAsia="Times New Roman"/>
      <w:lang w:eastAsia="sl-SI"/>
    </w:rPr>
  </w:style>
  <w:style w:type="paragraph" w:styleId="TOC3">
    <w:name w:val="toc 3"/>
    <w:basedOn w:val="Normal"/>
    <w:next w:val="Normal"/>
    <w:autoRedefine/>
    <w:uiPriority w:val="39"/>
    <w:semiHidden/>
    <w:unhideWhenUsed/>
    <w:qFormat/>
    <w:rsid w:val="00904ABF"/>
    <w:pPr>
      <w:spacing w:after="100" w:line="276" w:lineRule="auto"/>
      <w:ind w:left="440"/>
    </w:pPr>
    <w:rPr>
      <w:rFonts w:eastAsia="Times New Roman"/>
      <w:lang w:eastAsia="sl-SI"/>
    </w:rPr>
  </w:style>
  <w:style w:type="paragraph" w:customStyle="1" w:styleId="clan">
    <w:name w:val="clan"/>
    <w:basedOn w:val="Normal"/>
    <w:rsid w:val="00904ABF"/>
    <w:pPr>
      <w:spacing w:before="240" w:after="120" w:line="240" w:lineRule="auto"/>
      <w:jc w:val="center"/>
    </w:pPr>
    <w:rPr>
      <w:rFonts w:ascii="Arial" w:eastAsia="Times New Roman" w:hAnsi="Arial"/>
      <w:b/>
      <w:bCs/>
      <w:sz w:val="24"/>
      <w:szCs w:val="24"/>
      <w:lang w:val="sr-Latn-CS" w:eastAsia="sr-Latn-CS"/>
    </w:rPr>
  </w:style>
  <w:style w:type="paragraph" w:customStyle="1" w:styleId="Navaden1">
    <w:name w:val="Navaden1"/>
    <w:basedOn w:val="Normal"/>
    <w:rsid w:val="00904ABF"/>
    <w:pPr>
      <w:spacing w:before="100" w:beforeAutospacing="1" w:after="100" w:afterAutospacing="1" w:line="240" w:lineRule="auto"/>
    </w:pPr>
    <w:rPr>
      <w:rFonts w:ascii="Arial" w:eastAsia="Times New Roman" w:hAnsi="Arial"/>
      <w:lang w:val="sr-Latn-CS" w:eastAsia="sr-Latn-CS"/>
    </w:rPr>
  </w:style>
  <w:style w:type="paragraph" w:customStyle="1" w:styleId="wyq110---naslov-clana">
    <w:name w:val="wyq110---naslov-clana"/>
    <w:basedOn w:val="Normal"/>
    <w:rsid w:val="00904ABF"/>
    <w:pPr>
      <w:spacing w:before="240" w:after="240" w:line="240" w:lineRule="auto"/>
      <w:jc w:val="center"/>
    </w:pPr>
    <w:rPr>
      <w:rFonts w:ascii="Arial" w:eastAsia="Times New Roman" w:hAnsi="Arial"/>
      <w:b/>
      <w:bCs/>
      <w:sz w:val="24"/>
      <w:szCs w:val="24"/>
      <w:lang w:val="sr-Latn-CS" w:eastAsia="sr-Latn-CS"/>
    </w:rPr>
  </w:style>
  <w:style w:type="paragraph" w:styleId="Revision">
    <w:name w:val="Revision"/>
    <w:hidden/>
    <w:uiPriority w:val="99"/>
    <w:semiHidden/>
    <w:rsid w:val="00274003"/>
    <w:rPr>
      <w:sz w:val="22"/>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42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ravno-informacioni-sistem.rs/SlGlasnikPortal/viewdoc?uuid=a6eb8ea2-a92b-4c1f-9b06-ca7f9039989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32004D0915" TargetMode="External"/><Relationship Id="rId2" Type="http://schemas.openxmlformats.org/officeDocument/2006/relationships/hyperlink" Target="https://eur-lex.europa.eu/legal-content/en/ALL/?uri=CELEX:32001D0497" TargetMode="External"/><Relationship Id="rId1" Type="http://schemas.openxmlformats.org/officeDocument/2006/relationships/hyperlink" Target="https://eur-lex.europa.eu/legal-content/en/TXT/?uri=CELEX%3A32010D00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98087-2516-470B-9CBB-8F51FE565A90}">
  <ds:schemaRefs>
    <ds:schemaRef ds:uri="http://schemas.openxmlformats.org/officeDocument/2006/bibliography"/>
  </ds:schemaRefs>
</ds:datastoreItem>
</file>

<file path=customXml/itemProps2.xml><?xml version="1.0" encoding="utf-8"?>
<ds:datastoreItem xmlns:ds="http://schemas.openxmlformats.org/officeDocument/2006/customXml" ds:itemID="{76E33AE4-B88E-4B06-A913-A78714F5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10059</Words>
  <Characters>57339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Matej Sironič</dc:creator>
  <cp:lastModifiedBy>Aleksandar Resanovic</cp:lastModifiedBy>
  <cp:revision>5</cp:revision>
  <cp:lastPrinted>2019-05-27T13:10:00Z</cp:lastPrinted>
  <dcterms:created xsi:type="dcterms:W3CDTF">2019-07-15T11:00:00Z</dcterms:created>
  <dcterms:modified xsi:type="dcterms:W3CDTF">2019-07-16T08:38:00Z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-2105433688</vt:i4>
  </property>
</Properties>
</file>