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C6F" w:rsidRDefault="00C67785"/>
    <w:p w:rsidR="001B1B0F" w:rsidRDefault="001B1B0F" w:rsidP="001B1B0F">
      <w:pPr>
        <w:rPr>
          <w:lang w:val="en-US"/>
        </w:rPr>
      </w:pPr>
    </w:p>
    <w:p w:rsidR="001B1B0F" w:rsidRPr="002717ED" w:rsidRDefault="001B1B0F" w:rsidP="001B1B0F">
      <w:pPr>
        <w:rPr>
          <w:lang w:val="en-US"/>
        </w:rPr>
      </w:pPr>
    </w:p>
    <w:p w:rsidR="006E369C" w:rsidRPr="00C67785" w:rsidRDefault="006E369C" w:rsidP="00C67785">
      <w:pPr>
        <w:jc w:val="both"/>
        <w:rPr>
          <w:rFonts w:asciiTheme="majorHAnsi" w:hAnsiTheme="majorHAnsi"/>
          <w:b/>
          <w:sz w:val="21"/>
          <w:szCs w:val="21"/>
          <w:lang w:val="en-US"/>
        </w:rPr>
      </w:pPr>
      <w:r w:rsidRPr="00C67785">
        <w:rPr>
          <w:rFonts w:asciiTheme="majorHAnsi" w:hAnsiTheme="majorHAnsi"/>
          <w:b/>
          <w:sz w:val="21"/>
          <w:szCs w:val="21"/>
        </w:rPr>
        <w:t xml:space="preserve">Извод из </w:t>
      </w:r>
      <w:r w:rsidR="00C67785" w:rsidRPr="00C67785">
        <w:rPr>
          <w:rFonts w:asciiTheme="majorHAnsi" w:hAnsiTheme="majorHAnsi"/>
          <w:b/>
          <w:sz w:val="21"/>
          <w:szCs w:val="21"/>
        </w:rPr>
        <w:t>Закона о буџету Републике Србије за 201</w:t>
      </w:r>
      <w:r w:rsidR="00C67785" w:rsidRPr="00C67785">
        <w:rPr>
          <w:rFonts w:asciiTheme="majorHAnsi" w:hAnsiTheme="majorHAnsi"/>
          <w:b/>
          <w:sz w:val="21"/>
          <w:szCs w:val="21"/>
          <w:lang w:val="sr-Latn-CS"/>
        </w:rPr>
        <w:t>7</w:t>
      </w:r>
      <w:r w:rsidR="00C67785" w:rsidRPr="00C67785">
        <w:rPr>
          <w:rFonts w:asciiTheme="majorHAnsi" w:hAnsiTheme="majorHAnsi"/>
          <w:b/>
          <w:sz w:val="21"/>
          <w:szCs w:val="21"/>
        </w:rPr>
        <w:t xml:space="preserve">. годину </w:t>
      </w:r>
      <w:r w:rsidR="00C67785" w:rsidRPr="00C67785">
        <w:rPr>
          <w:rFonts w:asciiTheme="majorHAnsi" w:hAnsiTheme="majorHAnsi"/>
          <w:b/>
          <w:sz w:val="21"/>
          <w:szCs w:val="21"/>
          <w:lang w:val="ru-RU"/>
        </w:rPr>
        <w:t xml:space="preserve">(„Службени гласник РС“ бр. </w:t>
      </w:r>
      <w:r w:rsidR="00C67785" w:rsidRPr="00C67785">
        <w:rPr>
          <w:rFonts w:asciiTheme="majorHAnsi" w:hAnsiTheme="majorHAnsi"/>
          <w:b/>
          <w:sz w:val="21"/>
          <w:szCs w:val="21"/>
          <w:lang w:val="sr-Latn-CS"/>
        </w:rPr>
        <w:t>99</w:t>
      </w:r>
      <w:r w:rsidR="00C67785" w:rsidRPr="00C67785">
        <w:rPr>
          <w:rFonts w:asciiTheme="majorHAnsi" w:hAnsiTheme="majorHAnsi"/>
          <w:b/>
          <w:sz w:val="21"/>
          <w:szCs w:val="21"/>
          <w:lang w:val="ru-RU"/>
        </w:rPr>
        <w:t>/201</w:t>
      </w:r>
      <w:r w:rsidR="00C67785" w:rsidRPr="00C67785">
        <w:rPr>
          <w:rFonts w:asciiTheme="majorHAnsi" w:hAnsiTheme="majorHAnsi"/>
          <w:b/>
          <w:sz w:val="21"/>
          <w:szCs w:val="21"/>
          <w:lang w:val="sr-Latn-CS"/>
        </w:rPr>
        <w:t xml:space="preserve">6 </w:t>
      </w:r>
      <w:r w:rsidR="00C67785" w:rsidRPr="00C67785">
        <w:rPr>
          <w:rFonts w:asciiTheme="majorHAnsi" w:hAnsiTheme="majorHAnsi"/>
          <w:b/>
          <w:sz w:val="21"/>
          <w:szCs w:val="21"/>
        </w:rPr>
        <w:t>од 12.12.2016. године)</w:t>
      </w:r>
    </w:p>
    <w:p w:rsidR="006E369C" w:rsidRPr="00C67785" w:rsidRDefault="006E369C" w:rsidP="00C67785">
      <w:pPr>
        <w:jc w:val="both"/>
        <w:rPr>
          <w:rFonts w:asciiTheme="majorHAnsi" w:hAnsiTheme="majorHAnsi"/>
          <w:sz w:val="21"/>
          <w:szCs w:val="21"/>
        </w:rPr>
      </w:pPr>
    </w:p>
    <w:p w:rsidR="001B1B0F" w:rsidRPr="00B92CB6" w:rsidRDefault="001B1B0F" w:rsidP="00C67785">
      <w:pPr>
        <w:jc w:val="both"/>
        <w:rPr>
          <w:rFonts w:asciiTheme="majorHAnsi" w:hAnsiTheme="majorHAnsi"/>
          <w:b/>
          <w:sz w:val="21"/>
          <w:szCs w:val="21"/>
        </w:rPr>
      </w:pPr>
      <w:r w:rsidRPr="00B92CB6">
        <w:rPr>
          <w:rFonts w:asciiTheme="majorHAnsi" w:hAnsiTheme="majorHAnsi"/>
          <w:b/>
          <w:sz w:val="21"/>
          <w:szCs w:val="21"/>
        </w:rPr>
        <w:t>Буџет Повереника за информације од јавног значаја и заштиту података о личности за 201</w:t>
      </w:r>
      <w:r w:rsidR="00C67785">
        <w:rPr>
          <w:rFonts w:asciiTheme="majorHAnsi" w:hAnsiTheme="majorHAnsi"/>
          <w:b/>
          <w:sz w:val="21"/>
          <w:szCs w:val="21"/>
        </w:rPr>
        <w:t>7</w:t>
      </w:r>
      <w:r w:rsidRPr="00B92CB6">
        <w:rPr>
          <w:rFonts w:asciiTheme="majorHAnsi" w:hAnsiTheme="majorHAnsi"/>
          <w:b/>
          <w:sz w:val="21"/>
          <w:szCs w:val="21"/>
        </w:rPr>
        <w:t xml:space="preserve">. </w:t>
      </w:r>
      <w:r w:rsidR="006E369C" w:rsidRPr="00B92CB6">
        <w:rPr>
          <w:rFonts w:asciiTheme="majorHAnsi" w:hAnsiTheme="majorHAnsi"/>
          <w:b/>
          <w:sz w:val="21"/>
          <w:szCs w:val="21"/>
        </w:rPr>
        <w:t>г</w:t>
      </w:r>
      <w:r w:rsidRPr="00B92CB6">
        <w:rPr>
          <w:rFonts w:asciiTheme="majorHAnsi" w:hAnsiTheme="majorHAnsi"/>
          <w:b/>
          <w:sz w:val="21"/>
          <w:szCs w:val="21"/>
        </w:rPr>
        <w:t>одину</w:t>
      </w:r>
    </w:p>
    <w:p w:rsidR="006E369C" w:rsidRPr="006E369C" w:rsidRDefault="006E369C" w:rsidP="00C67785">
      <w:pPr>
        <w:rPr>
          <w:rFonts w:asciiTheme="majorHAnsi" w:hAnsiTheme="majorHAnsi"/>
          <w:sz w:val="22"/>
          <w:szCs w:val="22"/>
        </w:rPr>
      </w:pPr>
    </w:p>
    <w:tbl>
      <w:tblPr>
        <w:tblW w:w="9400" w:type="dxa"/>
        <w:tblInd w:w="93" w:type="dxa"/>
        <w:tblLook w:val="04A0"/>
      </w:tblPr>
      <w:tblGrid>
        <w:gridCol w:w="440"/>
        <w:gridCol w:w="643"/>
        <w:gridCol w:w="687"/>
        <w:gridCol w:w="973"/>
        <w:gridCol w:w="1157"/>
        <w:gridCol w:w="4148"/>
        <w:gridCol w:w="1352"/>
      </w:tblGrid>
      <w:tr w:rsidR="00C67785" w:rsidRPr="00C67785" w:rsidTr="00C67785">
        <w:trPr>
          <w:trHeight w:val="255"/>
        </w:trPr>
        <w:tc>
          <w:tcPr>
            <w:tcW w:w="9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u w:val="single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u w:val="single"/>
                <w:lang w:val="en-US"/>
              </w:rPr>
              <w:t>БИЛАНС ФИНАНСИЈСКОГ ПЛАНА</w:t>
            </w:r>
          </w:p>
        </w:tc>
      </w:tr>
      <w:tr w:rsidR="00C67785" w:rsidRPr="00C67785" w:rsidTr="00C67785">
        <w:trPr>
          <w:trHeight w:val="255"/>
        </w:trPr>
        <w:tc>
          <w:tcPr>
            <w:tcW w:w="9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C67785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val="en-US"/>
              </w:rPr>
              <w:t>Буџетски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val="en-US"/>
              </w:rPr>
              <w:t>корисник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42600</w:t>
            </w:r>
          </w:p>
        </w:tc>
      </w:tr>
      <w:tr w:rsidR="00C67785" w:rsidRPr="00C67785" w:rsidTr="00C67785">
        <w:trPr>
          <w:trHeight w:val="1140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1849B"/>
            <w:textDirection w:val="btLr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C67785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>Раздео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1849B"/>
            <w:textDirection w:val="btLr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C67785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>Програм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1849B"/>
            <w:textDirection w:val="btLr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C67785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>Функција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1849B"/>
            <w:textDirection w:val="btLr"/>
            <w:vAlign w:val="center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C67785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>Програмска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>активност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>Пројекат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1849B"/>
            <w:vAlign w:val="center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C67785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>Економска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>класифи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-  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>кација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1849B"/>
            <w:vAlign w:val="center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>ОПИС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1849B"/>
            <w:vAlign w:val="center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C67785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>Укупна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>средствa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</w:t>
            </w:r>
          </w:p>
        </w:tc>
      </w:tr>
      <w:tr w:rsidR="00C67785" w:rsidRPr="00C67785" w:rsidTr="00C67785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Повереник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за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информације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од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јавног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значаја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заштиту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података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о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личности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right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203,000,000</w:t>
            </w:r>
          </w:p>
        </w:tc>
      </w:tr>
      <w:tr w:rsidR="00C67785" w:rsidRPr="00C67785" w:rsidTr="00C67785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Извори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финансирања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за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раздео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</w:tr>
      <w:tr w:rsidR="00C67785" w:rsidRPr="00C67785" w:rsidTr="00C67785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01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proofErr w:type="spellStart"/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Приходи</w:t>
            </w:r>
            <w:proofErr w:type="spellEnd"/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из</w:t>
            </w:r>
            <w:proofErr w:type="spellEnd"/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буџета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right"/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177,738,000</w:t>
            </w:r>
          </w:p>
        </w:tc>
      </w:tr>
      <w:tr w:rsidR="00C67785" w:rsidRPr="00C67785" w:rsidTr="00C67785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05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proofErr w:type="spellStart"/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Донације</w:t>
            </w:r>
            <w:proofErr w:type="spellEnd"/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од</w:t>
            </w:r>
            <w:proofErr w:type="spellEnd"/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иностраних</w:t>
            </w:r>
            <w:proofErr w:type="spellEnd"/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земаља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right"/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1,000</w:t>
            </w:r>
          </w:p>
        </w:tc>
      </w:tr>
      <w:tr w:rsidR="00C67785" w:rsidRPr="00C67785" w:rsidTr="00C67785">
        <w:trPr>
          <w:trHeight w:val="4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15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proofErr w:type="spellStart"/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Неутрошена</w:t>
            </w:r>
            <w:proofErr w:type="spellEnd"/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средства</w:t>
            </w:r>
            <w:proofErr w:type="spellEnd"/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из</w:t>
            </w:r>
            <w:proofErr w:type="spellEnd"/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донација</w:t>
            </w:r>
            <w:proofErr w:type="spellEnd"/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из</w:t>
            </w:r>
            <w:proofErr w:type="spellEnd"/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ранијих</w:t>
            </w:r>
            <w:proofErr w:type="spellEnd"/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година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right"/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25,261,000</w:t>
            </w:r>
          </w:p>
        </w:tc>
      </w:tr>
      <w:tr w:rsidR="00C67785" w:rsidRPr="00C67785" w:rsidTr="00C67785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1001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Унапређење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заштита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људских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мањинских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права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слобода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right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203,000,000</w:t>
            </w:r>
          </w:p>
        </w:tc>
      </w:tr>
      <w:tr w:rsidR="00C67785" w:rsidRPr="00C67785" w:rsidTr="00C67785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Опште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јавне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услуге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које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нису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класификоване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на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другом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месту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right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203,000,000</w:t>
            </w:r>
          </w:p>
        </w:tc>
      </w:tr>
      <w:tr w:rsidR="00C67785" w:rsidRPr="00C67785" w:rsidTr="00C67785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0011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Доступност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информација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од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јавног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значаја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заштита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података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о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личности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right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203,000,000</w:t>
            </w:r>
          </w:p>
        </w:tc>
      </w:tr>
      <w:tr w:rsidR="00C67785" w:rsidRPr="00C67785" w:rsidTr="00C67785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411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Плате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додаци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накнаде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запослених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зараде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right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118,900,000</w:t>
            </w:r>
          </w:p>
        </w:tc>
      </w:tr>
      <w:tr w:rsidR="00C67785" w:rsidRPr="00C67785" w:rsidTr="00C67785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412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Социјални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доприноси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на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терет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послодавца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right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20,920,000</w:t>
            </w:r>
          </w:p>
        </w:tc>
      </w:tr>
      <w:tr w:rsidR="00C67785" w:rsidRPr="00C67785" w:rsidTr="00C67785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413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Накнаде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у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натури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right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350,000</w:t>
            </w:r>
          </w:p>
        </w:tc>
      </w:tr>
      <w:tr w:rsidR="00C67785" w:rsidRPr="00C67785" w:rsidTr="00C67785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414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Социјална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давања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запосленима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right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1,100,000</w:t>
            </w:r>
          </w:p>
        </w:tc>
      </w:tr>
      <w:tr w:rsidR="00C67785" w:rsidRPr="00C67785" w:rsidTr="00C67785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415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Накнаде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трошкова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за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запослене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right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2,900,000</w:t>
            </w:r>
          </w:p>
        </w:tc>
      </w:tr>
      <w:tr w:rsidR="00C67785" w:rsidRPr="00C67785" w:rsidTr="00C67785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416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Награде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запосленима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остали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посебни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расходи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right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250,000</w:t>
            </w:r>
          </w:p>
        </w:tc>
      </w:tr>
      <w:tr w:rsidR="00C67785" w:rsidRPr="00C67785" w:rsidTr="00C67785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421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Стални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трошкови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right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4,100,000</w:t>
            </w:r>
          </w:p>
        </w:tc>
      </w:tr>
      <w:tr w:rsidR="00C67785" w:rsidRPr="00C67785" w:rsidTr="00C67785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422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Трошкови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путовања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right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4,052,000</w:t>
            </w:r>
          </w:p>
        </w:tc>
      </w:tr>
      <w:tr w:rsidR="00C67785" w:rsidRPr="00C67785" w:rsidTr="00C67785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423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Услуге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по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уговору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right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33,061,000</w:t>
            </w:r>
          </w:p>
        </w:tc>
      </w:tr>
      <w:tr w:rsidR="00C67785" w:rsidRPr="00C67785" w:rsidTr="00C67785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425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Текуће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поправке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одржавање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right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2,322,000</w:t>
            </w:r>
          </w:p>
        </w:tc>
      </w:tr>
      <w:tr w:rsidR="00C67785" w:rsidRPr="00C67785" w:rsidTr="00C67785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426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Материјал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right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4,303,000</w:t>
            </w:r>
          </w:p>
        </w:tc>
      </w:tr>
      <w:tr w:rsidR="00C67785" w:rsidRPr="00C67785" w:rsidTr="00C67785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482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Порези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обавезне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таксе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казне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right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400,000</w:t>
            </w:r>
          </w:p>
        </w:tc>
      </w:tr>
      <w:tr w:rsidR="00C67785" w:rsidRPr="00C67785" w:rsidTr="00C67785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512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Машине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опрема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right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5,712,000</w:t>
            </w:r>
          </w:p>
        </w:tc>
      </w:tr>
      <w:tr w:rsidR="00C67785" w:rsidRPr="00C67785" w:rsidTr="00C67785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515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Нематеријална</w:t>
            </w:r>
            <w:proofErr w:type="spellEnd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имовина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C67785" w:rsidRPr="00C67785" w:rsidRDefault="00C67785" w:rsidP="00C67785">
            <w:pPr>
              <w:jc w:val="right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C67785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4,630,000</w:t>
            </w:r>
          </w:p>
        </w:tc>
      </w:tr>
    </w:tbl>
    <w:p w:rsidR="006E369C" w:rsidRPr="006E369C" w:rsidRDefault="006E369C" w:rsidP="001B1B0F">
      <w:pPr>
        <w:rPr>
          <w:rFonts w:asciiTheme="majorHAnsi" w:hAnsiTheme="majorHAnsi" w:cs="Arial"/>
          <w:sz w:val="18"/>
          <w:szCs w:val="18"/>
          <w:lang w:val="en-US"/>
        </w:rPr>
      </w:pPr>
    </w:p>
    <w:sectPr w:rsidR="006E369C" w:rsidRPr="006E369C" w:rsidSect="00C67785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B1B0F"/>
    <w:rsid w:val="00017211"/>
    <w:rsid w:val="00077B05"/>
    <w:rsid w:val="0014129F"/>
    <w:rsid w:val="001B1B0F"/>
    <w:rsid w:val="001F5234"/>
    <w:rsid w:val="002717ED"/>
    <w:rsid w:val="0029605D"/>
    <w:rsid w:val="002E5511"/>
    <w:rsid w:val="00354FD5"/>
    <w:rsid w:val="00393CD9"/>
    <w:rsid w:val="003C0864"/>
    <w:rsid w:val="0041231C"/>
    <w:rsid w:val="00462AC7"/>
    <w:rsid w:val="00493B69"/>
    <w:rsid w:val="005C2A3E"/>
    <w:rsid w:val="00680FBB"/>
    <w:rsid w:val="006B5214"/>
    <w:rsid w:val="006E369C"/>
    <w:rsid w:val="007666D4"/>
    <w:rsid w:val="007B5185"/>
    <w:rsid w:val="007D17B2"/>
    <w:rsid w:val="008F2FBD"/>
    <w:rsid w:val="009F7B21"/>
    <w:rsid w:val="00A56913"/>
    <w:rsid w:val="00AD1324"/>
    <w:rsid w:val="00B05254"/>
    <w:rsid w:val="00B24E8C"/>
    <w:rsid w:val="00B269DA"/>
    <w:rsid w:val="00B92CB6"/>
    <w:rsid w:val="00C67785"/>
    <w:rsid w:val="00CA28BA"/>
    <w:rsid w:val="00D33DB2"/>
    <w:rsid w:val="00DE7841"/>
    <w:rsid w:val="00F11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gordana.djordjevic</dc:creator>
  <cp:keywords/>
  <dc:description/>
  <cp:lastModifiedBy>gordana.djordjevic</cp:lastModifiedBy>
  <cp:revision>3</cp:revision>
  <dcterms:created xsi:type="dcterms:W3CDTF">2017-01-27T09:08:00Z</dcterms:created>
  <dcterms:modified xsi:type="dcterms:W3CDTF">2017-01-27T09:19:00Z</dcterms:modified>
</cp:coreProperties>
</file>