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EDA" w:rsidRPr="0037651C" w:rsidRDefault="00DD0EDA" w:rsidP="00DD0EDA">
      <w:pPr>
        <w:pStyle w:val="Naslov"/>
        <w:rPr>
          <w:szCs w:val="24"/>
        </w:rPr>
      </w:pPr>
      <w:bookmarkStart w:id="0" w:name="_Toc509315908"/>
      <w:r w:rsidRPr="0037651C">
        <w:rPr>
          <w:szCs w:val="24"/>
        </w:rPr>
        <w:t>УВОДНЕ НАПОМЕНЕ</w:t>
      </w:r>
      <w:bookmarkEnd w:id="0"/>
    </w:p>
    <w:p w:rsidR="00DD0EDA" w:rsidRDefault="00DD0EDA" w:rsidP="00DD0EDA">
      <w:pPr>
        <w:spacing w:before="0" w:line="240" w:lineRule="auto"/>
        <w:ind w:left="0" w:firstLine="720"/>
        <w:rPr>
          <w:rFonts w:ascii="Times New Roman" w:hAnsi="Times New Roman" w:cs="Times New Roman"/>
          <w:sz w:val="24"/>
          <w:szCs w:val="24"/>
        </w:rPr>
      </w:pPr>
    </w:p>
    <w:p w:rsidR="00DD0EDA" w:rsidRPr="00554E22" w:rsidRDefault="00DD0EDA" w:rsidP="00DD0EDA">
      <w:pPr>
        <w:spacing w:before="0" w:line="240" w:lineRule="auto"/>
        <w:ind w:left="0" w:firstLine="720"/>
        <w:rPr>
          <w:rFonts w:ascii="Times New Roman" w:hAnsi="Times New Roman" w:cs="Times New Roman"/>
          <w:sz w:val="23"/>
          <w:szCs w:val="23"/>
        </w:rPr>
      </w:pPr>
      <w:r w:rsidRPr="00554E22">
        <w:rPr>
          <w:rFonts w:ascii="Times New Roman" w:hAnsi="Times New Roman" w:cs="Times New Roman"/>
          <w:sz w:val="23"/>
          <w:szCs w:val="23"/>
        </w:rPr>
        <w:t xml:space="preserve">Овај Извештај је тринаести по реду годишњи извештај који Повереник за информације од јавног значаја и заштиту података о личности подноси Народној скупштини Републике Србије, а девети од како је надлежност Повереника проширена и на заштиту података о личности. </w:t>
      </w:r>
    </w:p>
    <w:p w:rsidR="00DD0EDA" w:rsidRPr="00554E22" w:rsidRDefault="00DD0EDA" w:rsidP="00DD0EDA">
      <w:pPr>
        <w:spacing w:before="0" w:line="240" w:lineRule="auto"/>
        <w:ind w:left="0" w:firstLine="720"/>
        <w:rPr>
          <w:rFonts w:ascii="Times New Roman" w:hAnsi="Times New Roman" w:cs="Times New Roman"/>
          <w:sz w:val="23"/>
          <w:szCs w:val="23"/>
        </w:rPr>
      </w:pPr>
      <w:r w:rsidRPr="00554E22">
        <w:rPr>
          <w:rFonts w:ascii="Times New Roman" w:hAnsi="Times New Roman" w:cs="Times New Roman"/>
          <w:sz w:val="23"/>
          <w:szCs w:val="23"/>
        </w:rPr>
        <w:t>Овај Извештај је уједно и највероватније последњи Извештај који подноси актуелни повереник за информације од јавног значаја и заштиту података о личности.</w:t>
      </w:r>
    </w:p>
    <w:p w:rsidR="00DD0EDA" w:rsidRPr="00554E22" w:rsidRDefault="00DD0EDA" w:rsidP="00DD0EDA">
      <w:pPr>
        <w:spacing w:before="0" w:line="240" w:lineRule="auto"/>
        <w:ind w:left="0" w:firstLine="720"/>
        <w:rPr>
          <w:rFonts w:ascii="Times New Roman" w:hAnsi="Times New Roman" w:cs="Times New Roman"/>
          <w:sz w:val="23"/>
          <w:szCs w:val="23"/>
        </w:rPr>
      </w:pPr>
      <w:r w:rsidRPr="00554E22">
        <w:rPr>
          <w:rFonts w:ascii="Times New Roman" w:hAnsi="Times New Roman" w:cs="Times New Roman"/>
          <w:sz w:val="23"/>
          <w:szCs w:val="23"/>
        </w:rPr>
        <w:t>Протекла 2017. година, по оцени Повереника, вероватно је била најтежа за рад институције у свих протеклих тринаест година. Уз одржавање свих хронично постојећих проблема у протеклој години, рад Повереника био је посебно додатно отежан чињеницом да су активности Повереника, које нису биле афирмативне за органе власти, односно законске мере које је по том основу предузимао, веома често изазивале потпуно неосноване критике на рачун Повереника, недостојне инсинуације чак и очигледне лажи или су, што је још горе, надлежни органи одбијањем сарадње са Повереником онемогућавали да он предузима мере прописане законом.</w:t>
      </w:r>
      <w:r w:rsidRPr="00554E22">
        <w:rPr>
          <w:rFonts w:ascii="Times New Roman" w:hAnsi="Times New Roman" w:cs="Times New Roman"/>
          <w:color w:val="FF0000"/>
          <w:sz w:val="23"/>
          <w:szCs w:val="23"/>
        </w:rPr>
        <w:t xml:space="preserve"> </w:t>
      </w:r>
    </w:p>
    <w:p w:rsidR="00DD0EDA" w:rsidRPr="00554E22" w:rsidRDefault="00DD0EDA" w:rsidP="00DD0EDA">
      <w:pPr>
        <w:spacing w:before="0" w:line="240" w:lineRule="auto"/>
        <w:ind w:left="0" w:firstLine="720"/>
        <w:rPr>
          <w:rFonts w:ascii="Times New Roman" w:hAnsi="Times New Roman" w:cs="Times New Roman"/>
          <w:sz w:val="23"/>
          <w:szCs w:val="23"/>
        </w:rPr>
      </w:pPr>
      <w:r w:rsidRPr="00554E22">
        <w:rPr>
          <w:rFonts w:ascii="Times New Roman" w:hAnsi="Times New Roman" w:cs="Times New Roman"/>
          <w:sz w:val="23"/>
          <w:szCs w:val="23"/>
        </w:rPr>
        <w:t>Година је окончана чињеницом која је заиста необјашњива. Министарство финансија је припремило, Влада предложила а Народна скупштина утврдила буџет у коме су средства за плате запослених у Служби Повереника утврђена у износу који је недовољан за већ постојећи број запослених. То, имајући у виду да се у свим програмским документима Владе и Народне скупштине, као и у Акционом плану за Поглавље 23 прокламује јачање кадровских ресурса ове институције, делује дословно као гротеска.</w:t>
      </w:r>
    </w:p>
    <w:p w:rsidR="00DD0EDA" w:rsidRPr="00554E22" w:rsidRDefault="00DD0EDA" w:rsidP="00DD0EDA">
      <w:pPr>
        <w:spacing w:before="0" w:line="240" w:lineRule="auto"/>
        <w:ind w:left="0" w:firstLine="720"/>
        <w:rPr>
          <w:rFonts w:ascii="Times New Roman" w:hAnsi="Times New Roman" w:cs="Times New Roman"/>
          <w:sz w:val="23"/>
          <w:szCs w:val="23"/>
        </w:rPr>
      </w:pPr>
      <w:r w:rsidRPr="00554E22">
        <w:rPr>
          <w:rFonts w:ascii="Times New Roman" w:hAnsi="Times New Roman" w:cs="Times New Roman"/>
          <w:sz w:val="23"/>
          <w:szCs w:val="23"/>
        </w:rPr>
        <w:t xml:space="preserve">И овај Извештај ће, кад је реч о стању у областима слободе приступа информацијама и заштите података о личности, као и претходних осам потврдити веома крупне и значајне разлике у ове две области. </w:t>
      </w:r>
    </w:p>
    <w:p w:rsidR="00DD0EDA" w:rsidRPr="00554E22" w:rsidRDefault="00DD0EDA" w:rsidP="00DD0EDA">
      <w:pPr>
        <w:spacing w:line="240" w:lineRule="auto"/>
        <w:ind w:left="0" w:firstLine="720"/>
        <w:rPr>
          <w:rFonts w:ascii="Times New Roman" w:hAnsi="Times New Roman" w:cs="Times New Roman"/>
          <w:sz w:val="23"/>
          <w:szCs w:val="23"/>
        </w:rPr>
      </w:pPr>
      <w:r w:rsidRPr="00554E22">
        <w:rPr>
          <w:rFonts w:ascii="Times New Roman" w:hAnsi="Times New Roman" w:cs="Times New Roman"/>
          <w:sz w:val="23"/>
          <w:szCs w:val="23"/>
        </w:rPr>
        <w:t>У области слободе приступа информацијама у 2017. години проценат успешних интервенција Повереника био је преко 93%. Иако се још увек може говорити о релативно високом проценту успешности, то ипак не може бити разлог за задовољство. Посебно је забрињавајуће стање у вези са формалним решењима којима Повереник налаже давање информација. Наиме, након што Повереник по примљеној жалби затражи од првостепеног органа изјашњење, поступци се у великом броју случајева, преко 61% окончавају обуставом, јер орган и без формалног решења Повереника даје претходно ускраћену информацију. Међутим, у случајевима када је било нужно доносити формална решења, проценат извршења тих решења око 78%, што је објективно веома забрињавајуће јер говори о потпуно свесном, намерном игнорисању законских обавеза од стране органа власти.</w:t>
      </w:r>
    </w:p>
    <w:p w:rsidR="00DD0EDA" w:rsidRPr="00554E22" w:rsidRDefault="00DD0EDA" w:rsidP="00DD0EDA">
      <w:pPr>
        <w:spacing w:line="240" w:lineRule="auto"/>
        <w:ind w:left="0" w:firstLine="720"/>
        <w:rPr>
          <w:rFonts w:ascii="Times New Roman" w:hAnsi="Times New Roman" w:cs="Times New Roman"/>
          <w:sz w:val="23"/>
          <w:szCs w:val="23"/>
        </w:rPr>
      </w:pPr>
      <w:r w:rsidRPr="00554E22">
        <w:rPr>
          <w:rFonts w:ascii="Times New Roman" w:hAnsi="Times New Roman" w:cs="Times New Roman"/>
          <w:sz w:val="23"/>
          <w:szCs w:val="23"/>
        </w:rPr>
        <w:t xml:space="preserve">Проблем ефикасности у заштити права јавности у највећој мери се мора објашњавати одсуством подршке коју су Поверенику били дужни да пруже други државни органи. </w:t>
      </w:r>
    </w:p>
    <w:p w:rsidR="00DD0EDA" w:rsidRPr="00554E22" w:rsidRDefault="00DD0EDA" w:rsidP="00DD0EDA">
      <w:pPr>
        <w:spacing w:line="240" w:lineRule="auto"/>
        <w:ind w:left="0" w:firstLine="720"/>
        <w:rPr>
          <w:rFonts w:ascii="Times New Roman" w:hAnsi="Times New Roman" w:cs="Times New Roman"/>
          <w:sz w:val="23"/>
          <w:szCs w:val="23"/>
        </w:rPr>
      </w:pPr>
      <w:r w:rsidRPr="00554E22">
        <w:rPr>
          <w:rFonts w:ascii="Times New Roman" w:hAnsi="Times New Roman" w:cs="Times New Roman"/>
          <w:sz w:val="23"/>
          <w:szCs w:val="23"/>
        </w:rPr>
        <w:t xml:space="preserve">Ни Управна инспекција у саставу Министарства државне управе и локалне самоуправе, надлежна за покретање прекршајних поступака против прекршилаца закона, ни правосудни органи нису имали ни изблиза адекватан однос према чињеници да се закон масовно крши. Прекршајни поступци покретани су у броју вишеструко мањем од броја реално почињених </w:t>
      </w:r>
      <w:r w:rsidRPr="00554E22">
        <w:rPr>
          <w:rFonts w:ascii="Times New Roman" w:hAnsi="Times New Roman" w:cs="Times New Roman"/>
          <w:sz w:val="23"/>
          <w:szCs w:val="23"/>
        </w:rPr>
        <w:lastRenderedPageBreak/>
        <w:t>прекршаја, ретко и селективно, а окончавани у највећем броју случајева наступањем застарелости. Дословно бизарно делује податак да је у години у којој је почињено бар неколико хиљада прекршаја закона, Управна инспекција покренула 11 поступака, а да су грађани, у својству оштећених, покренули 401 поступак, да су дакле показали готово 40 пута већу спремност да се заложе за остваривање принципа законитости и одговорности, него надлежни државни органи.</w:t>
      </w:r>
    </w:p>
    <w:p w:rsidR="00DD0EDA" w:rsidRPr="00554E22" w:rsidRDefault="00DD0EDA" w:rsidP="00DD0EDA">
      <w:pPr>
        <w:spacing w:line="240" w:lineRule="auto"/>
        <w:ind w:left="0" w:firstLine="720"/>
        <w:rPr>
          <w:rFonts w:ascii="Times New Roman" w:hAnsi="Times New Roman" w:cs="Times New Roman"/>
          <w:sz w:val="23"/>
          <w:szCs w:val="23"/>
        </w:rPr>
      </w:pPr>
      <w:r w:rsidRPr="00554E22">
        <w:rPr>
          <w:rFonts w:ascii="Times New Roman" w:hAnsi="Times New Roman" w:cs="Times New Roman"/>
          <w:sz w:val="23"/>
          <w:szCs w:val="23"/>
        </w:rPr>
        <w:t>И Влада Србије се потпуно неодговорно односила према законској обавези да у случају потребе, ако Повереник не може спровести своје решење применом расположивих мера, она обезбеди извршење решења непосредном принудом. За податак да је у 2017. години Повереник то од Владе захтевао 43 пута, а да то она није урадила ни једном сувишан је било какав коментар.</w:t>
      </w:r>
    </w:p>
    <w:p w:rsidR="00DD0EDA" w:rsidRPr="00554E22" w:rsidRDefault="00DD0EDA" w:rsidP="00DD0EDA">
      <w:pPr>
        <w:pStyle w:val="1tekst"/>
        <w:spacing w:after="240"/>
        <w:ind w:left="0" w:right="0" w:firstLine="0"/>
        <w:rPr>
          <w:rFonts w:ascii="Times New Roman" w:hAnsi="Times New Roman" w:cs="Times New Roman"/>
          <w:sz w:val="23"/>
          <w:szCs w:val="23"/>
        </w:rPr>
      </w:pPr>
      <w:r w:rsidRPr="00554E22">
        <w:rPr>
          <w:rFonts w:ascii="Times New Roman" w:hAnsi="Times New Roman" w:cs="Times New Roman"/>
          <w:sz w:val="23"/>
          <w:szCs w:val="23"/>
        </w:rPr>
        <w:tab/>
        <w:t xml:space="preserve">У 2017. години, трећу годину узастопце, Народна скупштина, супротно закону и сопственом Пословнику, не разматра годишње извештаје Повереника. Штавише, као и прошле године, други пут за 13 година постојања и деловања институције Повереника, чак ни "матични" скупштински Одбор за културу и информисање није разматрао повереников извештај. </w:t>
      </w:r>
    </w:p>
    <w:p w:rsidR="00DD0EDA" w:rsidRPr="00554E22" w:rsidRDefault="00DD0EDA" w:rsidP="00DD0EDA">
      <w:pPr>
        <w:pStyle w:val="1tekst"/>
        <w:spacing w:after="240"/>
        <w:ind w:left="0" w:right="0" w:firstLine="0"/>
        <w:rPr>
          <w:rFonts w:ascii="Times New Roman" w:hAnsi="Times New Roman" w:cs="Times New Roman"/>
          <w:sz w:val="23"/>
          <w:szCs w:val="23"/>
        </w:rPr>
      </w:pPr>
      <w:r w:rsidRPr="00554E22">
        <w:rPr>
          <w:rFonts w:ascii="Times New Roman" w:hAnsi="Times New Roman" w:cs="Times New Roman"/>
          <w:sz w:val="23"/>
          <w:szCs w:val="23"/>
        </w:rPr>
        <w:tab/>
        <w:t xml:space="preserve">Поред наведеног, врло забрињавајуће је одржавање хроничних проблема у вези са остваривањем права јавности на информације о крупним економским потезима државе, односно органа власти, о располагању великим финансијским или материјалним ресурсима. Ови проблеми су, уз озбиљне повреде права јавности, имали и друге непожељне последице, пре свега по углед у антикорупцијском контексту, што је и у 2017. години потврђено хронично лошом оценом и позицијом наше земље на Глобалном индексу перцепције корупције. </w:t>
      </w:r>
    </w:p>
    <w:p w:rsidR="00DD0EDA" w:rsidRPr="00554E22" w:rsidRDefault="00DD0EDA" w:rsidP="00DD0EDA">
      <w:pPr>
        <w:pStyle w:val="1tekst"/>
        <w:spacing w:after="240"/>
        <w:ind w:left="0" w:right="0" w:firstLine="0"/>
        <w:rPr>
          <w:rFonts w:ascii="Times New Roman" w:hAnsi="Times New Roman" w:cs="Times New Roman"/>
          <w:sz w:val="23"/>
          <w:szCs w:val="23"/>
        </w:rPr>
      </w:pPr>
      <w:r w:rsidRPr="00554E22">
        <w:rPr>
          <w:rFonts w:ascii="Times New Roman" w:hAnsi="Times New Roman" w:cs="Times New Roman"/>
          <w:sz w:val="23"/>
          <w:szCs w:val="23"/>
        </w:rPr>
        <w:tab/>
        <w:t xml:space="preserve">У области заштите података о личности ситуација је и даље лоша и врло забрињавајућа. </w:t>
      </w:r>
    </w:p>
    <w:p w:rsidR="00DD0EDA" w:rsidRPr="00554E22" w:rsidRDefault="00DD0EDA" w:rsidP="00DD0EDA">
      <w:pPr>
        <w:spacing w:line="240" w:lineRule="auto"/>
        <w:ind w:left="0" w:firstLine="720"/>
        <w:rPr>
          <w:rFonts w:ascii="Times New Roman" w:hAnsi="Times New Roman" w:cs="Times New Roman"/>
          <w:sz w:val="23"/>
          <w:szCs w:val="23"/>
        </w:rPr>
      </w:pPr>
      <w:r w:rsidRPr="00554E22">
        <w:rPr>
          <w:rFonts w:ascii="Times New Roman" w:hAnsi="Times New Roman" w:cs="Times New Roman"/>
          <w:sz w:val="23"/>
          <w:szCs w:val="23"/>
        </w:rPr>
        <w:t>За стање у овој области карактеристична је интензивна активност Повереника. Број предмета у области заштите података о личности у прошлој години био је 4.607. предмета.</w:t>
      </w:r>
    </w:p>
    <w:p w:rsidR="00DD0EDA" w:rsidRPr="00554E22" w:rsidRDefault="00DD0EDA" w:rsidP="00DD0EDA">
      <w:pPr>
        <w:spacing w:line="240" w:lineRule="auto"/>
        <w:ind w:left="0" w:firstLine="720"/>
        <w:rPr>
          <w:rFonts w:ascii="Times New Roman" w:hAnsi="Times New Roman" w:cs="Times New Roman"/>
          <w:sz w:val="23"/>
          <w:szCs w:val="23"/>
        </w:rPr>
      </w:pPr>
      <w:r w:rsidRPr="00554E22">
        <w:rPr>
          <w:rFonts w:ascii="Times New Roman" w:hAnsi="Times New Roman" w:cs="Times New Roman"/>
          <w:sz w:val="23"/>
          <w:szCs w:val="23"/>
        </w:rPr>
        <w:t xml:space="preserve">И што се тиче ефикасности деловања Повереника статистички подаци указују на релативно висок проценат ефикасности. У случајевима у којима је Повереник упућивао упозорења тај проценат је око 90%, а у случају обавезујућих решења око 94%. </w:t>
      </w:r>
    </w:p>
    <w:p w:rsidR="00DD0EDA" w:rsidRPr="00554E22" w:rsidRDefault="00DD0EDA" w:rsidP="00DD0EDA">
      <w:pPr>
        <w:spacing w:line="240" w:lineRule="auto"/>
        <w:ind w:left="0" w:firstLine="720"/>
        <w:rPr>
          <w:rFonts w:ascii="Times New Roman" w:hAnsi="Times New Roman" w:cs="Times New Roman"/>
          <w:sz w:val="23"/>
          <w:szCs w:val="23"/>
        </w:rPr>
      </w:pPr>
      <w:r w:rsidRPr="00554E22">
        <w:rPr>
          <w:rFonts w:ascii="Times New Roman" w:hAnsi="Times New Roman" w:cs="Times New Roman"/>
          <w:sz w:val="23"/>
          <w:szCs w:val="23"/>
        </w:rPr>
        <w:t xml:space="preserve">Генерално, када је у питању заштита података о личности, наша земља се још увек објективно налази на самом почетку процеса имплементације европских стандарда у правни поредак и реални живот. Нужно је учинити тај процес далеко бржим и квалитетнијим. Нажалост, чињеница је да се та нужност још увек недовољно разуме и препознаје. Најбоља илустрација тога је то да је још у лето 2010, после дугог оклевања, на иницијативу Повереника за информације од јавног значаја и заштиту података о личности и на основу нацрта који су припремили његови сарадници у сарадњи са експертима Комисије ЕУ, Влада Србије усвојила Стратегију заштите података о личности, али да још није донела Акциони план за њено спровођење. Тромесечни рок за доношење Акционог плана истекао је пре шест и по година, али он још увек није донет. Само се по себи разуме да је услед тога Стратегија остала само „мртво слово" на папиру, без било каквих практичних ефеката; као и да је, имајући у виду протек времена, данас застарела и да је неопходно донети нову. </w:t>
      </w:r>
    </w:p>
    <w:p w:rsidR="00DD0EDA" w:rsidRPr="00554E22" w:rsidRDefault="00DD0EDA" w:rsidP="00DD0EDA">
      <w:pPr>
        <w:spacing w:line="240" w:lineRule="auto"/>
        <w:ind w:left="0" w:firstLine="720"/>
        <w:rPr>
          <w:rFonts w:ascii="Times New Roman" w:hAnsi="Times New Roman" w:cs="Times New Roman"/>
          <w:iCs/>
          <w:sz w:val="23"/>
          <w:szCs w:val="23"/>
        </w:rPr>
      </w:pPr>
      <w:r w:rsidRPr="00554E22">
        <w:rPr>
          <w:rFonts w:ascii="Times New Roman" w:hAnsi="Times New Roman" w:cs="Times New Roman"/>
          <w:sz w:val="23"/>
          <w:szCs w:val="23"/>
        </w:rPr>
        <w:lastRenderedPageBreak/>
        <w:t xml:space="preserve">У одсуству озбиљне Стратегије и стварне жеље да се она реализује надлежни државни органи недопустиво мало раде, тачније, готово ништа не раде на нужном, даљем усклађивању правног оквира, посебно Закона о заштити података о личности са европским стандардима, иако смо у том погледу у великој доцњи. Влада је још средином 2012. формирала Радну групу са задатком да припреми измене и допуне Закона о заштити података о личности. Међутим, ни након скоро пет година нема никаквих ефеката рада ове Радне групе. Настојећи да помогне Влади, односно Министарству правде, Повереник је са својим сарадницима и у сарадњи са представницима цивилног сектора и академске заједнице припремио и ставио на располагање Министарству правде одговарајући Модел закона. И </w:t>
      </w:r>
      <w:r w:rsidRPr="00554E22">
        <w:rPr>
          <w:rFonts w:ascii="Times New Roman" w:hAnsi="Times New Roman" w:cs="Times New Roman"/>
          <w:iCs/>
          <w:sz w:val="23"/>
          <w:szCs w:val="23"/>
        </w:rPr>
        <w:t>Влада је</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у</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Акционом</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плану</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за</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Поглавље</w:t>
      </w:r>
      <w:r w:rsidRPr="00554E22">
        <w:rPr>
          <w:rFonts w:ascii="Times New Roman" w:eastAsia="Calibri" w:hAnsi="Times New Roman" w:cs="Times New Roman"/>
          <w:iCs/>
          <w:sz w:val="23"/>
          <w:szCs w:val="23"/>
        </w:rPr>
        <w:t xml:space="preserve"> 23 </w:t>
      </w:r>
      <w:r w:rsidRPr="00554E22">
        <w:rPr>
          <w:rFonts w:ascii="Times New Roman" w:hAnsi="Times New Roman" w:cs="Times New Roman"/>
          <w:iCs/>
          <w:sz w:val="23"/>
          <w:szCs w:val="23"/>
        </w:rPr>
        <w:t>утврдила</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да</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ће</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нови</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закон</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бити</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донет</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до</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краја</w:t>
      </w:r>
      <w:r w:rsidRPr="00554E22">
        <w:rPr>
          <w:rFonts w:ascii="Times New Roman" w:eastAsia="Calibri" w:hAnsi="Times New Roman" w:cs="Times New Roman"/>
          <w:iCs/>
          <w:sz w:val="23"/>
          <w:szCs w:val="23"/>
        </w:rPr>
        <w:t xml:space="preserve"> 2015. </w:t>
      </w:r>
      <w:r w:rsidRPr="00554E22">
        <w:rPr>
          <w:rFonts w:ascii="Times New Roman" w:hAnsi="Times New Roman" w:cs="Times New Roman"/>
          <w:iCs/>
          <w:sz w:val="23"/>
          <w:szCs w:val="23"/>
        </w:rPr>
        <w:t>године</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и то на основу</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Модела</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који</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је</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припремио</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Повереник</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Међутим</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закон</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није</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донет</w:t>
      </w:r>
      <w:r w:rsidRPr="00554E22">
        <w:rPr>
          <w:rFonts w:ascii="Times New Roman" w:eastAsia="Calibri" w:hAnsi="Times New Roman" w:cs="Times New Roman"/>
          <w:iCs/>
          <w:sz w:val="23"/>
          <w:szCs w:val="23"/>
        </w:rPr>
        <w:t xml:space="preserve">, није се чак појавио ни било какав формалан предлог закона, </w:t>
      </w:r>
      <w:r w:rsidRPr="00554E22">
        <w:rPr>
          <w:rFonts w:ascii="Times New Roman" w:hAnsi="Times New Roman" w:cs="Times New Roman"/>
          <w:iCs/>
          <w:sz w:val="23"/>
          <w:szCs w:val="23"/>
        </w:rPr>
        <w:t>а</w:t>
      </w:r>
      <w:r w:rsidRPr="00554E22">
        <w:rPr>
          <w:rFonts w:ascii="Times New Roman" w:eastAsia="Calibri" w:hAnsi="Times New Roman" w:cs="Times New Roman"/>
          <w:iCs/>
          <w:sz w:val="23"/>
          <w:szCs w:val="23"/>
        </w:rPr>
        <w:t xml:space="preserve"> "радна верзија" </w:t>
      </w:r>
      <w:r w:rsidRPr="00554E22">
        <w:rPr>
          <w:rFonts w:ascii="Times New Roman" w:hAnsi="Times New Roman" w:cs="Times New Roman"/>
          <w:iCs/>
          <w:sz w:val="23"/>
          <w:szCs w:val="23"/>
        </w:rPr>
        <w:t>Нацрта</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коју</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је</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презентирало</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Министарство</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правде не само да</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скоро</w:t>
      </w:r>
      <w:r w:rsidRPr="00554E22">
        <w:rPr>
          <w:rFonts w:ascii="Times New Roman" w:eastAsia="Calibri" w:hAnsi="Times New Roman" w:cs="Times New Roman"/>
          <w:iCs/>
          <w:sz w:val="23"/>
          <w:szCs w:val="23"/>
        </w:rPr>
        <w:t xml:space="preserve"> и </w:t>
      </w:r>
      <w:r w:rsidRPr="00554E22">
        <w:rPr>
          <w:rFonts w:ascii="Times New Roman" w:hAnsi="Times New Roman" w:cs="Times New Roman"/>
          <w:iCs/>
          <w:sz w:val="23"/>
          <w:szCs w:val="23"/>
        </w:rPr>
        <w:t>није имала</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додирних</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тачака</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са</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моделом</w:t>
      </w:r>
      <w:r w:rsidRPr="00554E22">
        <w:rPr>
          <w:rFonts w:ascii="Times New Roman" w:eastAsia="Calibri" w:hAnsi="Times New Roman" w:cs="Times New Roman"/>
          <w:iCs/>
          <w:sz w:val="23"/>
          <w:szCs w:val="23"/>
        </w:rPr>
        <w:t xml:space="preserve"> </w:t>
      </w:r>
      <w:r w:rsidRPr="00554E22">
        <w:rPr>
          <w:rFonts w:ascii="Times New Roman" w:hAnsi="Times New Roman" w:cs="Times New Roman"/>
          <w:iCs/>
          <w:sz w:val="23"/>
          <w:szCs w:val="23"/>
        </w:rPr>
        <w:t>Повереника, него је била неквалитетна и није садржавала одговоре на практично ниједно од важних, акутних, у пракси отворених питања.</w:t>
      </w:r>
    </w:p>
    <w:p w:rsidR="00DD0EDA" w:rsidRPr="00554E22" w:rsidRDefault="00DD0EDA" w:rsidP="00DD0EDA">
      <w:pPr>
        <w:spacing w:line="240" w:lineRule="auto"/>
        <w:ind w:left="0" w:firstLine="720"/>
        <w:rPr>
          <w:rFonts w:ascii="Times New Roman" w:hAnsi="Times New Roman" w:cs="Times New Roman"/>
          <w:iCs/>
          <w:sz w:val="23"/>
          <w:szCs w:val="23"/>
        </w:rPr>
      </w:pPr>
      <w:r w:rsidRPr="00554E22">
        <w:rPr>
          <w:rFonts w:ascii="Times New Roman" w:hAnsi="Times New Roman" w:cs="Times New Roman"/>
          <w:iCs/>
          <w:sz w:val="23"/>
          <w:szCs w:val="23"/>
        </w:rPr>
        <w:t>Будући да није могла поднети иоле озбиљну критику та "радна верзија" више се никад није појавила. А "радна група" наставила је рад, опет без резултата. Будући да је у међувремену усвајањем Опште уредбе о заштити података о личности ЕУ</w:t>
      </w:r>
      <w:r w:rsidRPr="00554E22">
        <w:rPr>
          <w:rStyle w:val="FootnoteReference"/>
          <w:rFonts w:ascii="Times New Roman" w:hAnsi="Times New Roman" w:cs="Times New Roman"/>
          <w:iCs/>
          <w:sz w:val="23"/>
          <w:szCs w:val="23"/>
        </w:rPr>
        <w:footnoteReference w:id="1"/>
      </w:r>
      <w:r w:rsidRPr="00554E22">
        <w:rPr>
          <w:rFonts w:ascii="Times New Roman" w:hAnsi="Times New Roman" w:cs="Times New Roman"/>
          <w:iCs/>
          <w:sz w:val="23"/>
          <w:szCs w:val="23"/>
        </w:rPr>
        <w:t xml:space="preserve"> дошло до изузетно значајних промена у глобалном нормативном контексту, Повереник је још једном, у жељи да помогне, припремио нов Модел закона и ставио га на располагање Влади односно Министарству правде.</w:t>
      </w:r>
    </w:p>
    <w:p w:rsidR="00DD0EDA" w:rsidRPr="00554E22" w:rsidRDefault="00DD0EDA" w:rsidP="00DD0EDA">
      <w:pPr>
        <w:spacing w:line="240" w:lineRule="auto"/>
        <w:ind w:left="0" w:firstLine="720"/>
        <w:rPr>
          <w:rFonts w:ascii="Times New Roman" w:eastAsia="Calibri" w:hAnsi="Times New Roman" w:cs="Times New Roman"/>
          <w:iCs/>
          <w:sz w:val="23"/>
          <w:szCs w:val="23"/>
        </w:rPr>
      </w:pPr>
      <w:r w:rsidRPr="00554E22">
        <w:rPr>
          <w:rFonts w:ascii="Times New Roman" w:hAnsi="Times New Roman" w:cs="Times New Roman"/>
          <w:iCs/>
          <w:sz w:val="23"/>
          <w:szCs w:val="23"/>
        </w:rPr>
        <w:t xml:space="preserve">Међутим, и поред чињенице да је у Акционом плану за Поглавље 23 Влада сама назначила да ће Модел Повереника бити основа новог закона то се није догодило, а крајем године Министарство правде објавило је Нацрт закона који у основи представља само превод Опште уредбе о заштити података о личности без неопходних специфичних решења и одговора на читав низ одавно отворених акутних питања. Тај нацрт је са више аспеката, од елементарног нормативног до функционалног испод прихватљивог нивоа и практично непримењив. </w:t>
      </w:r>
    </w:p>
    <w:p w:rsidR="00DD0EDA" w:rsidRPr="00554E22" w:rsidRDefault="00DD0EDA" w:rsidP="00DD0EDA">
      <w:pPr>
        <w:spacing w:line="240" w:lineRule="auto"/>
        <w:ind w:left="0" w:firstLine="720"/>
        <w:rPr>
          <w:rFonts w:ascii="Times New Roman" w:hAnsi="Times New Roman" w:cs="Times New Roman"/>
          <w:sz w:val="23"/>
          <w:szCs w:val="23"/>
        </w:rPr>
      </w:pPr>
      <w:r w:rsidRPr="00554E22">
        <w:rPr>
          <w:rFonts w:ascii="Times New Roman" w:hAnsi="Times New Roman" w:cs="Times New Roman"/>
          <w:sz w:val="23"/>
          <w:szCs w:val="23"/>
        </w:rPr>
        <w:t xml:space="preserve">Директна последица неадекватног и неодговорног односа према стању нормативне уређености заштите података о личности је и чињеница да ниједним законом још увек нису уређене бројне, за заштиту података о личности, изузетно битне области, попут видео-надзора и биометрије, што подразумева многе потенцијалне и реалне ризике повреде права великог броја грађана. </w:t>
      </w:r>
    </w:p>
    <w:p w:rsidR="00265C92" w:rsidRDefault="00DD0EDA" w:rsidP="00DD0EDA">
      <w:pPr>
        <w:spacing w:line="240" w:lineRule="auto"/>
        <w:ind w:left="0" w:firstLine="720"/>
      </w:pPr>
      <w:r w:rsidRPr="00554E22">
        <w:rPr>
          <w:rFonts w:ascii="Times New Roman" w:hAnsi="Times New Roman" w:cs="Times New Roman"/>
          <w:sz w:val="23"/>
          <w:szCs w:val="23"/>
        </w:rPr>
        <w:t xml:space="preserve">Бројни ексцеси односно повреде права на заштиту података о личности, неки и изузетно крупних димензија или значаја, императивно захтевају да се однос државе и друштва у целости према заштити података о личности, односно приватности уопште, потпуно, из корена промени. То што су активности Повереника на заштити права вишеструко увећане не треба, не може и не сме да служи за утеху, то је преозбиљно упозорење. Нужне су и активности свих одговорних, неопходни су далеко бољи резултати. То императивно траже и интеграциони процеси наше земље са ЕУ и, што је још много важније, потреба унапређења и заштите људских права зајемчених Уставом Србије. </w:t>
      </w:r>
    </w:p>
    <w:sectPr w:rsidR="00265C92" w:rsidSect="00265C9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AB8" w:rsidRDefault="00AC1AB8" w:rsidP="00DD0EDA">
      <w:pPr>
        <w:spacing w:before="0" w:after="0" w:line="240" w:lineRule="auto"/>
      </w:pPr>
      <w:r>
        <w:separator/>
      </w:r>
    </w:p>
  </w:endnote>
  <w:endnote w:type="continuationSeparator" w:id="0">
    <w:p w:rsidR="00AC1AB8" w:rsidRDefault="00AC1AB8" w:rsidP="00DD0ED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AB8" w:rsidRDefault="00AC1AB8" w:rsidP="00DD0EDA">
      <w:pPr>
        <w:spacing w:before="0" w:after="0" w:line="240" w:lineRule="auto"/>
      </w:pPr>
      <w:r>
        <w:separator/>
      </w:r>
    </w:p>
  </w:footnote>
  <w:footnote w:type="continuationSeparator" w:id="0">
    <w:p w:rsidR="00AC1AB8" w:rsidRDefault="00AC1AB8" w:rsidP="00DD0EDA">
      <w:pPr>
        <w:spacing w:before="0" w:after="0" w:line="240" w:lineRule="auto"/>
      </w:pPr>
      <w:r>
        <w:continuationSeparator/>
      </w:r>
    </w:p>
  </w:footnote>
  <w:footnote w:id="1">
    <w:p w:rsidR="00DD0EDA" w:rsidRPr="00EC72E5" w:rsidRDefault="00DD0EDA" w:rsidP="00DD0EDA">
      <w:pPr>
        <w:pStyle w:val="FootnoteText"/>
        <w:ind w:left="0" w:firstLine="0"/>
        <w:rPr>
          <w:rFonts w:ascii="Times New Roman" w:hAnsi="Times New Roman"/>
          <w:sz w:val="18"/>
          <w:szCs w:val="18"/>
        </w:rPr>
      </w:pPr>
      <w:r w:rsidRPr="00EC72E5">
        <w:rPr>
          <w:rStyle w:val="FootnoteReference"/>
          <w:rFonts w:ascii="Times New Roman" w:hAnsi="Times New Roman"/>
          <w:sz w:val="18"/>
          <w:szCs w:val="18"/>
        </w:rPr>
        <w:footnoteRef/>
      </w:r>
      <w:r w:rsidRPr="00EC72E5">
        <w:rPr>
          <w:rFonts w:ascii="Times New Roman" w:hAnsi="Times New Roman"/>
          <w:sz w:val="18"/>
          <w:szCs w:val="18"/>
        </w:rPr>
        <w:t xml:space="preserve"> Уредба (ЕУ) 2016/679 Европског парламента и</w:t>
      </w:r>
      <w:r>
        <w:rPr>
          <w:rFonts w:ascii="Times New Roman" w:hAnsi="Times New Roman"/>
          <w:sz w:val="18"/>
          <w:szCs w:val="18"/>
        </w:rPr>
        <w:t xml:space="preserve"> Са</w:t>
      </w:r>
      <w:r w:rsidRPr="00EC72E5">
        <w:rPr>
          <w:rFonts w:ascii="Times New Roman" w:hAnsi="Times New Roman"/>
          <w:sz w:val="18"/>
          <w:szCs w:val="18"/>
        </w:rPr>
        <w:t xml:space="preserve">вета од 27. </w:t>
      </w:r>
      <w:r>
        <w:rPr>
          <w:rFonts w:ascii="Times New Roman" w:hAnsi="Times New Roman"/>
          <w:sz w:val="18"/>
          <w:szCs w:val="18"/>
        </w:rPr>
        <w:t>а</w:t>
      </w:r>
      <w:r w:rsidRPr="00EC72E5">
        <w:rPr>
          <w:rFonts w:ascii="Times New Roman" w:hAnsi="Times New Roman"/>
          <w:sz w:val="18"/>
          <w:szCs w:val="18"/>
        </w:rPr>
        <w:t xml:space="preserve">прила 2016. </w:t>
      </w:r>
      <w:r>
        <w:rPr>
          <w:rFonts w:ascii="Times New Roman" w:hAnsi="Times New Roman"/>
          <w:sz w:val="18"/>
          <w:szCs w:val="18"/>
        </w:rPr>
        <w:t>г</w:t>
      </w:r>
      <w:r w:rsidRPr="00EC72E5">
        <w:rPr>
          <w:rFonts w:ascii="Times New Roman" w:hAnsi="Times New Roman"/>
          <w:sz w:val="18"/>
          <w:szCs w:val="18"/>
        </w:rPr>
        <w:t>одине о заштити физичких лица у односу на обраду података о личности и о слободно</w:t>
      </w:r>
      <w:r>
        <w:rPr>
          <w:rFonts w:ascii="Times New Roman" w:hAnsi="Times New Roman"/>
          <w:sz w:val="18"/>
          <w:szCs w:val="18"/>
        </w:rPr>
        <w:t xml:space="preserve">м </w:t>
      </w:r>
      <w:r w:rsidRPr="00EC72E5">
        <w:rPr>
          <w:rFonts w:ascii="Times New Roman" w:hAnsi="Times New Roman"/>
          <w:sz w:val="18"/>
          <w:szCs w:val="18"/>
        </w:rPr>
        <w:t>к</w:t>
      </w:r>
      <w:r>
        <w:rPr>
          <w:rFonts w:ascii="Times New Roman" w:hAnsi="Times New Roman"/>
          <w:sz w:val="18"/>
          <w:szCs w:val="18"/>
        </w:rPr>
        <w:t>р</w:t>
      </w:r>
      <w:r w:rsidRPr="00EC72E5">
        <w:rPr>
          <w:rFonts w:ascii="Times New Roman" w:hAnsi="Times New Roman"/>
          <w:sz w:val="18"/>
          <w:szCs w:val="18"/>
        </w:rPr>
        <w:t>етању таквих података и о стављању Дирек</w:t>
      </w:r>
      <w:r>
        <w:rPr>
          <w:rFonts w:ascii="Times New Roman" w:hAnsi="Times New Roman"/>
          <w:sz w:val="18"/>
          <w:szCs w:val="18"/>
        </w:rPr>
        <w:t>т</w:t>
      </w:r>
      <w:r w:rsidRPr="00EC72E5">
        <w:rPr>
          <w:rFonts w:ascii="Times New Roman" w:hAnsi="Times New Roman"/>
          <w:sz w:val="18"/>
          <w:szCs w:val="18"/>
        </w:rPr>
        <w:t>иве 95/46/ЕЗ ван снаге.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061D7F"/>
    <w:multiLevelType w:val="multilevel"/>
    <w:tmpl w:val="BFC43CDE"/>
    <w:lvl w:ilvl="0">
      <w:start w:val="1"/>
      <w:numFmt w:val="decimal"/>
      <w:pStyle w:val="Heading2"/>
      <w:lvlText w:val="%1."/>
      <w:lvlJc w:val="left"/>
      <w:pPr>
        <w:ind w:left="1440" w:hanging="360"/>
      </w:pPr>
    </w:lvl>
    <w:lvl w:ilvl="1">
      <w:start w:val="1"/>
      <w:numFmt w:val="decimal"/>
      <w:isLgl/>
      <w:lvlText w:val="%1.%2."/>
      <w:lvlJc w:val="left"/>
      <w:pPr>
        <w:ind w:left="1860" w:hanging="780"/>
      </w:pPr>
    </w:lvl>
    <w:lvl w:ilvl="2">
      <w:start w:val="2"/>
      <w:numFmt w:val="decimal"/>
      <w:isLgl/>
      <w:lvlText w:val="%1.%2.%3."/>
      <w:lvlJc w:val="left"/>
      <w:pPr>
        <w:ind w:left="1860" w:hanging="780"/>
      </w:pPr>
    </w:lvl>
    <w:lvl w:ilvl="3">
      <w:start w:val="1"/>
      <w:numFmt w:val="decimal"/>
      <w:pStyle w:val="Podpodpodnaslov"/>
      <w:isLgl/>
      <w:lvlText w:val="%1.%2.%3.%4."/>
      <w:lvlJc w:val="left"/>
      <w:pPr>
        <w:ind w:left="7800" w:hanging="78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DD0EDA"/>
    <w:rsid w:val="00015965"/>
    <w:rsid w:val="00017778"/>
    <w:rsid w:val="00051836"/>
    <w:rsid w:val="000664CE"/>
    <w:rsid w:val="00072E38"/>
    <w:rsid w:val="000745D2"/>
    <w:rsid w:val="00083893"/>
    <w:rsid w:val="000D0964"/>
    <w:rsid w:val="00103C7F"/>
    <w:rsid w:val="00160509"/>
    <w:rsid w:val="00160925"/>
    <w:rsid w:val="00167EAF"/>
    <w:rsid w:val="00177B68"/>
    <w:rsid w:val="00184B09"/>
    <w:rsid w:val="0019009C"/>
    <w:rsid w:val="00190A06"/>
    <w:rsid w:val="001C4EA7"/>
    <w:rsid w:val="002124CD"/>
    <w:rsid w:val="00220157"/>
    <w:rsid w:val="002431D8"/>
    <w:rsid w:val="00243B91"/>
    <w:rsid w:val="00251238"/>
    <w:rsid w:val="002624CB"/>
    <w:rsid w:val="00265C92"/>
    <w:rsid w:val="002A0294"/>
    <w:rsid w:val="002A30C1"/>
    <w:rsid w:val="002D39D2"/>
    <w:rsid w:val="002E65B3"/>
    <w:rsid w:val="002F7701"/>
    <w:rsid w:val="00303F4A"/>
    <w:rsid w:val="003067DE"/>
    <w:rsid w:val="00310A9B"/>
    <w:rsid w:val="00316BA0"/>
    <w:rsid w:val="0032393E"/>
    <w:rsid w:val="003406C7"/>
    <w:rsid w:val="003548F5"/>
    <w:rsid w:val="00363031"/>
    <w:rsid w:val="00374DD9"/>
    <w:rsid w:val="003775FF"/>
    <w:rsid w:val="0038262D"/>
    <w:rsid w:val="0039095C"/>
    <w:rsid w:val="00396855"/>
    <w:rsid w:val="003A009E"/>
    <w:rsid w:val="003B041A"/>
    <w:rsid w:val="003B41BA"/>
    <w:rsid w:val="003B6684"/>
    <w:rsid w:val="003E1FBE"/>
    <w:rsid w:val="003F5B66"/>
    <w:rsid w:val="004068B0"/>
    <w:rsid w:val="00437897"/>
    <w:rsid w:val="004413FB"/>
    <w:rsid w:val="0044251F"/>
    <w:rsid w:val="0045333E"/>
    <w:rsid w:val="00464209"/>
    <w:rsid w:val="00495588"/>
    <w:rsid w:val="004A0B57"/>
    <w:rsid w:val="004D3C6E"/>
    <w:rsid w:val="004D655D"/>
    <w:rsid w:val="004E1F65"/>
    <w:rsid w:val="004E34B9"/>
    <w:rsid w:val="00506E28"/>
    <w:rsid w:val="00517F9B"/>
    <w:rsid w:val="00534FF1"/>
    <w:rsid w:val="00542D23"/>
    <w:rsid w:val="005462BC"/>
    <w:rsid w:val="00564AA8"/>
    <w:rsid w:val="00567091"/>
    <w:rsid w:val="0057582D"/>
    <w:rsid w:val="0057795C"/>
    <w:rsid w:val="0059298E"/>
    <w:rsid w:val="005A61F6"/>
    <w:rsid w:val="005C2DF3"/>
    <w:rsid w:val="005D7716"/>
    <w:rsid w:val="005E751F"/>
    <w:rsid w:val="005F5C04"/>
    <w:rsid w:val="00617968"/>
    <w:rsid w:val="006306B6"/>
    <w:rsid w:val="00633209"/>
    <w:rsid w:val="0064030E"/>
    <w:rsid w:val="006520A7"/>
    <w:rsid w:val="00671701"/>
    <w:rsid w:val="00680B57"/>
    <w:rsid w:val="006836C7"/>
    <w:rsid w:val="00691547"/>
    <w:rsid w:val="00693BAA"/>
    <w:rsid w:val="00693F99"/>
    <w:rsid w:val="006A44A2"/>
    <w:rsid w:val="006B110C"/>
    <w:rsid w:val="006C5F92"/>
    <w:rsid w:val="006D67C5"/>
    <w:rsid w:val="00732B5B"/>
    <w:rsid w:val="0076457F"/>
    <w:rsid w:val="00786021"/>
    <w:rsid w:val="007877ED"/>
    <w:rsid w:val="007916F7"/>
    <w:rsid w:val="0079468B"/>
    <w:rsid w:val="007B7FD3"/>
    <w:rsid w:val="007C02D0"/>
    <w:rsid w:val="007D5B94"/>
    <w:rsid w:val="0080050E"/>
    <w:rsid w:val="00811880"/>
    <w:rsid w:val="00844083"/>
    <w:rsid w:val="0085024E"/>
    <w:rsid w:val="00860061"/>
    <w:rsid w:val="00871E11"/>
    <w:rsid w:val="008735D6"/>
    <w:rsid w:val="00894E2D"/>
    <w:rsid w:val="008B11F4"/>
    <w:rsid w:val="008C281D"/>
    <w:rsid w:val="008C2C7E"/>
    <w:rsid w:val="009070A6"/>
    <w:rsid w:val="00914403"/>
    <w:rsid w:val="00916FDB"/>
    <w:rsid w:val="009261D4"/>
    <w:rsid w:val="00941E81"/>
    <w:rsid w:val="00980910"/>
    <w:rsid w:val="009910AE"/>
    <w:rsid w:val="009A2C63"/>
    <w:rsid w:val="009B33F4"/>
    <w:rsid w:val="009D2D09"/>
    <w:rsid w:val="009E5453"/>
    <w:rsid w:val="00A05692"/>
    <w:rsid w:val="00A10D3B"/>
    <w:rsid w:val="00A17763"/>
    <w:rsid w:val="00A21F05"/>
    <w:rsid w:val="00A42153"/>
    <w:rsid w:val="00A55401"/>
    <w:rsid w:val="00A77342"/>
    <w:rsid w:val="00A83B7C"/>
    <w:rsid w:val="00A90ED5"/>
    <w:rsid w:val="00A95007"/>
    <w:rsid w:val="00AB2126"/>
    <w:rsid w:val="00AC1AB8"/>
    <w:rsid w:val="00AD214D"/>
    <w:rsid w:val="00AF080C"/>
    <w:rsid w:val="00AF5820"/>
    <w:rsid w:val="00B02192"/>
    <w:rsid w:val="00B0233F"/>
    <w:rsid w:val="00B0356B"/>
    <w:rsid w:val="00B074DD"/>
    <w:rsid w:val="00B201F5"/>
    <w:rsid w:val="00B33BA1"/>
    <w:rsid w:val="00B426E8"/>
    <w:rsid w:val="00B44312"/>
    <w:rsid w:val="00B53C70"/>
    <w:rsid w:val="00B55087"/>
    <w:rsid w:val="00B55215"/>
    <w:rsid w:val="00B65D95"/>
    <w:rsid w:val="00B74744"/>
    <w:rsid w:val="00B85E2A"/>
    <w:rsid w:val="00BC1BB2"/>
    <w:rsid w:val="00BC536C"/>
    <w:rsid w:val="00BD79B7"/>
    <w:rsid w:val="00BE0A2D"/>
    <w:rsid w:val="00C11139"/>
    <w:rsid w:val="00C15A10"/>
    <w:rsid w:val="00C211A3"/>
    <w:rsid w:val="00C63B1C"/>
    <w:rsid w:val="00C9311B"/>
    <w:rsid w:val="00CA7412"/>
    <w:rsid w:val="00CF1D4C"/>
    <w:rsid w:val="00D01824"/>
    <w:rsid w:val="00D079B4"/>
    <w:rsid w:val="00D17E16"/>
    <w:rsid w:val="00D24883"/>
    <w:rsid w:val="00D32D5B"/>
    <w:rsid w:val="00D81345"/>
    <w:rsid w:val="00DA30E3"/>
    <w:rsid w:val="00DA4EF5"/>
    <w:rsid w:val="00DD0EDA"/>
    <w:rsid w:val="00DE444D"/>
    <w:rsid w:val="00E14B97"/>
    <w:rsid w:val="00E235BE"/>
    <w:rsid w:val="00E82A17"/>
    <w:rsid w:val="00E97C83"/>
    <w:rsid w:val="00EA1F59"/>
    <w:rsid w:val="00EA39C0"/>
    <w:rsid w:val="00EC7F14"/>
    <w:rsid w:val="00ED4364"/>
    <w:rsid w:val="00ED7CA8"/>
    <w:rsid w:val="00EF7BBC"/>
    <w:rsid w:val="00F056DF"/>
    <w:rsid w:val="00F208A4"/>
    <w:rsid w:val="00F20CDB"/>
    <w:rsid w:val="00F34211"/>
    <w:rsid w:val="00F43BB7"/>
    <w:rsid w:val="00F46E02"/>
    <w:rsid w:val="00F90344"/>
    <w:rsid w:val="00FB662B"/>
    <w:rsid w:val="00FC4C0F"/>
    <w:rsid w:val="00FD0316"/>
    <w:rsid w:val="00FD5C20"/>
    <w:rsid w:val="00FD7AAD"/>
    <w:rsid w:val="00FF7B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EDA"/>
    <w:pPr>
      <w:spacing w:before="200"/>
      <w:ind w:left="720" w:hanging="360"/>
      <w:jc w:val="both"/>
    </w:pPr>
    <w:rPr>
      <w:rFonts w:ascii="Calibri" w:eastAsia="Times New Roman" w:hAnsi="Calibri" w:cs="Calibri"/>
      <w:lang w:val="sr-Cyrl-CS"/>
    </w:rPr>
  </w:style>
  <w:style w:type="paragraph" w:styleId="Heading2">
    <w:name w:val="heading 2"/>
    <w:basedOn w:val="Normal"/>
    <w:next w:val="Normal"/>
    <w:link w:val="Heading2Char"/>
    <w:uiPriority w:val="99"/>
    <w:unhideWhenUsed/>
    <w:qFormat/>
    <w:rsid w:val="00DD0EDA"/>
    <w:pPr>
      <w:keepNext/>
      <w:numPr>
        <w:numId w:val="1"/>
      </w:numPr>
      <w:spacing w:before="240" w:after="60" w:line="240" w:lineRule="auto"/>
      <w:outlineLvl w:val="1"/>
    </w:pPr>
    <w:rPr>
      <w:rFonts w:ascii="Times New Roman" w:eastAsia="MS Mincho" w:hAnsi="Times New Roman" w:cs="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0EDA"/>
    <w:rPr>
      <w:rFonts w:ascii="Times New Roman" w:eastAsia="MS Mincho" w:hAnsi="Times New Roman" w:cs="Times New Roman"/>
      <w:b/>
      <w:bCs/>
      <w:iCs/>
      <w:sz w:val="24"/>
      <w:szCs w:val="28"/>
      <w:lang w:val="sr-Cyrl-CS"/>
    </w:rPr>
  </w:style>
  <w:style w:type="paragraph" w:styleId="FootnoteText">
    <w:name w:val="footnote text"/>
    <w:basedOn w:val="Normal"/>
    <w:link w:val="FootnoteTextChar"/>
    <w:uiPriority w:val="99"/>
    <w:unhideWhenUsed/>
    <w:rsid w:val="00DD0EDA"/>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DD0EDA"/>
    <w:rPr>
      <w:rFonts w:ascii="Calibri" w:eastAsia="Times New Roman" w:hAnsi="Calibri" w:cs="Times New Roman"/>
      <w:sz w:val="20"/>
      <w:szCs w:val="20"/>
      <w:lang w:val="sr-Cyrl-CS"/>
    </w:rPr>
  </w:style>
  <w:style w:type="character" w:customStyle="1" w:styleId="NaslovChar">
    <w:name w:val="Naslov Char"/>
    <w:link w:val="Naslov"/>
    <w:locked/>
    <w:rsid w:val="00DD0EDA"/>
    <w:rPr>
      <w:rFonts w:ascii="Times New Roman" w:eastAsia="MS Mincho" w:hAnsi="Times New Roman" w:cs="Arial"/>
      <w:b/>
      <w:bCs/>
      <w:iCs/>
      <w:sz w:val="24"/>
      <w:szCs w:val="28"/>
      <w:lang w:val="sr-Cyrl-CS"/>
    </w:rPr>
  </w:style>
  <w:style w:type="paragraph" w:customStyle="1" w:styleId="Naslov">
    <w:name w:val="Naslov"/>
    <w:basedOn w:val="Heading2"/>
    <w:link w:val="NaslovChar"/>
    <w:qFormat/>
    <w:rsid w:val="00DD0EDA"/>
    <w:rPr>
      <w:rFonts w:cs="Arial"/>
    </w:rPr>
  </w:style>
  <w:style w:type="paragraph" w:customStyle="1" w:styleId="Podpodpodnaslov">
    <w:name w:val="Podpodpodnaslov"/>
    <w:basedOn w:val="ListParagraph"/>
    <w:qFormat/>
    <w:rsid w:val="00DD0EDA"/>
    <w:pPr>
      <w:numPr>
        <w:ilvl w:val="3"/>
        <w:numId w:val="1"/>
      </w:numPr>
      <w:spacing w:before="120" w:line="240" w:lineRule="auto"/>
      <w:contextualSpacing w:val="0"/>
    </w:pPr>
    <w:rPr>
      <w:rFonts w:ascii="Times New Roman" w:eastAsia="MS Mincho" w:hAnsi="Times New Roman" w:cs="Times New Roman"/>
      <w:b/>
      <w:sz w:val="24"/>
      <w:szCs w:val="24"/>
    </w:rPr>
  </w:style>
  <w:style w:type="paragraph" w:customStyle="1" w:styleId="1tekst">
    <w:name w:val="1tekst"/>
    <w:basedOn w:val="Normal"/>
    <w:uiPriority w:val="99"/>
    <w:rsid w:val="00DD0EDA"/>
    <w:pPr>
      <w:spacing w:before="0" w:after="0" w:line="240" w:lineRule="auto"/>
      <w:ind w:left="375" w:right="375" w:firstLine="240"/>
    </w:pPr>
    <w:rPr>
      <w:rFonts w:ascii="Arial" w:hAnsi="Arial" w:cs="Arial"/>
      <w:sz w:val="20"/>
      <w:szCs w:val="20"/>
    </w:rPr>
  </w:style>
  <w:style w:type="character" w:styleId="FootnoteReference">
    <w:name w:val="footnote reference"/>
    <w:uiPriority w:val="99"/>
    <w:unhideWhenUsed/>
    <w:rsid w:val="00DD0EDA"/>
    <w:rPr>
      <w:vertAlign w:val="superscript"/>
    </w:rPr>
  </w:style>
  <w:style w:type="paragraph" w:styleId="ListParagraph">
    <w:name w:val="List Paragraph"/>
    <w:basedOn w:val="Normal"/>
    <w:uiPriority w:val="34"/>
    <w:qFormat/>
    <w:rsid w:val="00DD0EDA"/>
    <w:p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1404</Words>
  <Characters>8004</Characters>
  <Application>Microsoft Office Word</Application>
  <DocSecurity>0</DocSecurity>
  <Lines>66</Lines>
  <Paragraphs>18</Paragraphs>
  <ScaleCrop>false</ScaleCrop>
  <Company/>
  <LinksUpToDate>false</LinksUpToDate>
  <CharactersWithSpaces>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Jekovic</dc:creator>
  <cp:lastModifiedBy>Mirela Jekovic</cp:lastModifiedBy>
  <cp:revision>1</cp:revision>
  <dcterms:created xsi:type="dcterms:W3CDTF">2018-03-30T07:35:00Z</dcterms:created>
  <dcterms:modified xsi:type="dcterms:W3CDTF">2018-03-30T07:36:00Z</dcterms:modified>
</cp:coreProperties>
</file>